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jc w:val="right"/>
        <w:textAlignment w:val="auto"/>
        <w:rPr>
          <w:rFonts w:hint="eastAsia" w:ascii="仿宋" w:hAnsi="仿宋" w:eastAsia="仿宋" w:cs="仿宋"/>
          <w:b/>
          <w:bCs/>
          <w:color w:val="FF0000"/>
          <w:spacing w:val="-3"/>
          <w:sz w:val="28"/>
          <w:szCs w:val="28"/>
          <w:lang w:val="en-US" w:eastAsia="zh-CN"/>
        </w:rPr>
      </w:pPr>
      <w:r>
        <mc:AlternateContent>
          <mc:Choice Requires="wps">
            <w:drawing>
              <wp:anchor distT="0" distB="0" distL="114300" distR="114300" simplePos="0" relativeHeight="251662336" behindDoc="1" locked="0" layoutInCell="1" allowOverlap="1">
                <wp:simplePos x="0" y="0"/>
                <wp:positionH relativeFrom="page">
                  <wp:posOffset>801370</wp:posOffset>
                </wp:positionH>
                <wp:positionV relativeFrom="paragraph">
                  <wp:posOffset>108585</wp:posOffset>
                </wp:positionV>
                <wp:extent cx="6061075" cy="137160"/>
                <wp:effectExtent l="0" t="0" r="4445" b="0"/>
                <wp:wrapTopAndBottom/>
                <wp:docPr id="2" name="任意多边形 2"/>
                <wp:cNvGraphicFramePr/>
                <a:graphic xmlns:a="http://schemas.openxmlformats.org/drawingml/2006/main">
                  <a:graphicData uri="http://schemas.microsoft.com/office/word/2010/wordprocessingShape">
                    <wps:wsp>
                      <wps:cNvSpPr/>
                      <wps:spPr>
                        <a:xfrm>
                          <a:off x="0" y="0"/>
                          <a:ext cx="6061075" cy="137160"/>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1pt;margin-top:8.55pt;height:10.8pt;width:477.25pt;mso-position-horizontal-relative:page;mso-wrap-distance-bottom:0pt;mso-wrap-distance-top:0pt;z-index:-251654144;mso-width-relative:page;mso-height-relative:page;" fillcolor="#FF0000" filled="t" stroked="f" coordsize="9589,193" o:gfxdata="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9rjA31gAAAAoBAAAPAAAAAAAAAAEAIAAAACIA&#10;AABkcnMvZG93bnJldi54bWxQSwECFAAUAAAACACHTuJAvfu/T0QCAABUBQAADgAAAAAAAAABACAA&#10;AAAlAQAAZHJzL2Uyb0RvYy54bWxQSwUGAAAAAAYABgBZAQAA2wUAAAAA&#10;" path="m0,133l0,43,9589,0,9589,90,0,133xm0,193l0,163,9589,120,9589,150,0,193xe">
                <v:fill on="t" focussize="0,0"/>
                <v:stroke on="f"/>
                <v:imagedata o:title=""/>
                <o:lock v:ext="edit" aspectratio="f"/>
                <w10:wrap type="topAndBottom"/>
              </v:shape>
            </w:pict>
          </mc:Fallback>
        </mc:AlternateContent>
      </w:r>
      <w:bookmarkStart w:id="0" w:name="关于举办 1+X 幼儿照护职业技能等级证书师资及考评员培训会的通知"/>
      <w:bookmarkEnd w:id="0"/>
      <w:r>
        <w:rPr>
          <w:rFonts w:hint="eastAsia" w:ascii="仿宋" w:hAnsi="仿宋" w:eastAsia="仿宋" w:cs="仿宋"/>
          <w:color w:val="FF0000"/>
          <w:spacing w:val="-3"/>
          <w:sz w:val="28"/>
          <w:szCs w:val="28"/>
        </w:rPr>
        <w:t>湘</w:t>
      </w:r>
      <w:bookmarkStart w:id="1" w:name="各职业院校、应用型本科院校、行业企业："/>
      <w:bookmarkEnd w:id="1"/>
      <w:r>
        <w:rPr>
          <w:rFonts w:hint="eastAsia" w:ascii="仿宋" w:hAnsi="仿宋" w:eastAsia="仿宋" w:cs="仿宋"/>
          <w:color w:val="FF0000"/>
          <w:spacing w:val="-3"/>
          <w:sz w:val="28"/>
          <w:szCs w:val="28"/>
        </w:rPr>
        <w:t>金职护理司函〔2025〕1</w:t>
      </w:r>
      <w:r>
        <w:rPr>
          <w:rFonts w:hint="eastAsia" w:cs="仿宋"/>
          <w:color w:val="FF0000"/>
          <w:spacing w:val="-3"/>
          <w:sz w:val="28"/>
          <w:szCs w:val="28"/>
          <w:lang w:val="en-US" w:eastAsia="zh-CN"/>
        </w:rPr>
        <w:t>8</w:t>
      </w:r>
      <w:r>
        <w:rPr>
          <w:rFonts w:hint="eastAsia" w:ascii="仿宋" w:hAnsi="仿宋" w:eastAsia="仿宋" w:cs="仿宋"/>
          <w:color w:val="FF0000"/>
          <w:spacing w:val="-3"/>
          <w:sz w:val="28"/>
          <w:szCs w:val="28"/>
        </w:rPr>
        <w:t>号</w:t>
      </w:r>
    </w:p>
    <w:p>
      <w:pPr>
        <w:keepNext w:val="0"/>
        <w:keepLines w:val="0"/>
        <w:pageBreakBefore w:val="0"/>
        <w:widowControl w:val="0"/>
        <w:kinsoku/>
        <w:wordWrap/>
        <w:overflowPunct/>
        <w:topLinePunct w:val="0"/>
        <w:autoSpaceDE w:val="0"/>
        <w:autoSpaceDN w:val="0"/>
        <w:bidi w:val="0"/>
        <w:adjustRightInd/>
        <w:snapToGrid/>
        <w:spacing w:before="0" w:line="680" w:lineRule="exact"/>
        <w:ind w:right="0"/>
        <w:jc w:val="center"/>
        <w:textAlignment w:val="auto"/>
        <w:rPr>
          <w:rFonts w:hint="eastAsia" w:ascii="方正小标宋简体" w:hAnsi="方正小标宋简体" w:eastAsia="方正小标宋简体" w:cs="方正小标宋简体"/>
          <w:b w:val="0"/>
          <w:bCs w:val="0"/>
          <w:color w:val="auto"/>
          <w:sz w:val="44"/>
          <w:szCs w:val="44"/>
          <w:lang w:val="en-US" w:eastAsia="zh-CN" w:bidi="zh-CN"/>
        </w:rPr>
      </w:pPr>
      <w:r>
        <w:rPr>
          <w:rFonts w:hint="eastAsia" w:ascii="方正小标宋简体" w:hAnsi="方正小标宋简体" w:eastAsia="方正小标宋简体" w:cs="方正小标宋简体"/>
          <w:b w:val="0"/>
          <w:bCs w:val="0"/>
          <w:color w:val="auto"/>
          <w:sz w:val="44"/>
          <w:szCs w:val="44"/>
          <w:lang w:val="en-US" w:eastAsia="zh-CN" w:bidi="zh-CN"/>
        </w:rPr>
        <w:t>关于举办2025年第一期1+X幼儿照护、产后恢复职业技能等级证书考务技术与督导员培训班的通知</w:t>
      </w:r>
    </w:p>
    <w:p>
      <w:pPr>
        <w:rPr>
          <w:rFonts w:hint="eastAsia"/>
          <w:color w:val="auto"/>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textAlignment w:val="auto"/>
        <w:rPr>
          <w:color w:val="auto"/>
        </w:rPr>
      </w:pPr>
      <w:r>
        <w:rPr>
          <w:color w:val="auto"/>
        </w:rPr>
        <w:t>各应用型本科院校、职业院校、行业企业：</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color w:val="auto"/>
        </w:rPr>
        <w:t>为全面落实教育部等四部门《关于在院校实施“学历证书+若干职业技能等级证书”制度试点方案》的通知，高质量开展1+X幼儿照护</w:t>
      </w:r>
      <w:r>
        <w:rPr>
          <w:rFonts w:hint="eastAsia"/>
          <w:color w:val="auto"/>
          <w:lang w:eastAsia="zh-CN"/>
        </w:rPr>
        <w:t>、</w:t>
      </w:r>
      <w:r>
        <w:rPr>
          <w:rFonts w:hint="eastAsia"/>
          <w:color w:val="auto"/>
          <w:lang w:val="en-US" w:eastAsia="zh-CN"/>
        </w:rPr>
        <w:t>产后恢复</w:t>
      </w:r>
      <w:r>
        <w:rPr>
          <w:color w:val="auto"/>
        </w:rPr>
        <w:t>职业技能等级证书（以下简称“幼儿照护</w:t>
      </w:r>
      <w:r>
        <w:rPr>
          <w:rFonts w:hint="eastAsia"/>
          <w:color w:val="auto"/>
          <w:lang w:eastAsia="zh-CN"/>
        </w:rPr>
        <w:t>、</w:t>
      </w:r>
      <w:r>
        <w:rPr>
          <w:rFonts w:hint="eastAsia"/>
          <w:color w:val="auto"/>
          <w:lang w:val="en-US" w:eastAsia="zh-CN"/>
        </w:rPr>
        <w:t>产后恢复</w:t>
      </w:r>
      <w:r>
        <w:rPr>
          <w:color w:val="auto"/>
        </w:rPr>
        <w:t>证书”）制度试点相关工作，促进证书的教学、培训和评价等工作快速落地，提高院校开展幼儿照护</w:t>
      </w:r>
      <w:r>
        <w:rPr>
          <w:rFonts w:hint="eastAsia"/>
          <w:color w:val="auto"/>
          <w:lang w:eastAsia="zh-CN"/>
        </w:rPr>
        <w:t>、</w:t>
      </w:r>
      <w:r>
        <w:rPr>
          <w:rFonts w:hint="eastAsia"/>
          <w:color w:val="auto"/>
          <w:lang w:val="en-US" w:eastAsia="zh-CN"/>
        </w:rPr>
        <w:t>产后恢复</w:t>
      </w:r>
      <w:r>
        <w:rPr>
          <w:color w:val="auto"/>
        </w:rPr>
        <w:t>证书试点工作的整体水平，全面提升证书教育培训质量，赋能职业教育提质培优行动计划，促进院校“三教改革”，湖南金职伟业母婴护理有限公司（以下简称“金职伟业”）特举办1+X幼儿照护</w:t>
      </w:r>
      <w:r>
        <w:rPr>
          <w:rFonts w:hint="eastAsia"/>
          <w:color w:val="auto"/>
          <w:lang w:eastAsia="zh-CN"/>
        </w:rPr>
        <w:t>、</w:t>
      </w:r>
      <w:r>
        <w:rPr>
          <w:rFonts w:hint="eastAsia"/>
          <w:color w:val="auto"/>
          <w:lang w:val="en-US" w:eastAsia="zh-CN"/>
        </w:rPr>
        <w:t>产后恢复</w:t>
      </w:r>
      <w:r>
        <w:rPr>
          <w:color w:val="auto"/>
        </w:rPr>
        <w:t>职业技能等级证书</w:t>
      </w:r>
      <w:r>
        <w:rPr>
          <w:rFonts w:hint="eastAsia"/>
          <w:color w:val="auto"/>
          <w:lang w:val="en-US" w:eastAsia="zh-CN"/>
        </w:rPr>
        <w:t>考务技术及督导员</w:t>
      </w:r>
      <w:r>
        <w:rPr>
          <w:color w:val="auto"/>
        </w:rPr>
        <w:t>的培训，现将有关事项通知如下：</w:t>
      </w:r>
      <w:bookmarkStart w:id="2" w:name="一、培训目标"/>
      <w:bookmarkEnd w:id="2"/>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2025年7月24日-7月27日（7月24日报到并举行班会，27日可返程）</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left"/>
        <w:textAlignment w:val="auto"/>
        <w:rPr>
          <w:rFonts w:hint="eastAsia"/>
          <w:color w:val="auto"/>
          <w:lang w:val="en-US" w:eastAsia="zh-CN"/>
        </w:rPr>
      </w:pPr>
      <w:bookmarkStart w:id="3" w:name="三、报名注意事项"/>
      <w:bookmarkEnd w:id="3"/>
      <w:r>
        <w:rPr>
          <w:rFonts w:hint="eastAsia"/>
          <w:color w:val="auto"/>
          <w:sz w:val="32"/>
          <w:szCs w:val="32"/>
          <w:lang w:val="en-US" w:eastAsia="zh-CN"/>
        </w:rPr>
        <w:t>长沙铂莱酒店（长沙市雨花区中意一路315号）</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olor w:val="auto"/>
          <w:lang w:val="en-US" w:eastAsia="zh-CN"/>
        </w:rPr>
      </w:pPr>
      <w:r>
        <w:rPr>
          <w:rFonts w:hint="eastAsia"/>
          <w:color w:val="auto"/>
          <w:lang w:val="zh-CN" w:eastAsia="zh-CN"/>
        </w:rPr>
        <w:t>1+X幼儿照护、</w:t>
      </w:r>
      <w:r>
        <w:rPr>
          <w:rFonts w:hint="eastAsia"/>
          <w:color w:val="auto"/>
          <w:lang w:val="en-US" w:eastAsia="zh-CN"/>
        </w:rPr>
        <w:t>产后恢复</w:t>
      </w:r>
      <w:r>
        <w:rPr>
          <w:rFonts w:hint="eastAsia"/>
          <w:color w:val="auto"/>
          <w:lang w:val="zh-CN" w:eastAsia="zh-CN"/>
        </w:rPr>
        <w:t>职业技能等级证书试点院校教师；行业、企业相关领域专家。</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1.</w:t>
      </w:r>
      <w:r>
        <w:rPr>
          <w:rFonts w:hint="eastAsia"/>
          <w:color w:val="auto"/>
          <w:lang w:val="zh-CN" w:eastAsia="zh-CN"/>
        </w:rPr>
        <w:t>机考环境布置及异常情况处理</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2.考务工作人员职业道德</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3.</w:t>
      </w:r>
      <w:r>
        <w:rPr>
          <w:rFonts w:hint="eastAsia"/>
          <w:color w:val="auto"/>
          <w:lang w:val="zh-CN" w:eastAsia="zh-CN"/>
        </w:rPr>
        <w:t>证书考核政策及考评要求</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4.</w:t>
      </w:r>
      <w:r>
        <w:rPr>
          <w:rFonts w:hint="eastAsia"/>
          <w:color w:val="auto"/>
          <w:lang w:val="zh-CN" w:eastAsia="zh-CN"/>
        </w:rPr>
        <w:t>证书考评</w:t>
      </w:r>
      <w:r>
        <w:rPr>
          <w:rFonts w:hint="eastAsia"/>
          <w:color w:val="auto"/>
          <w:lang w:val="en-US" w:eastAsia="zh-CN"/>
        </w:rPr>
        <w:t>实务</w:t>
      </w:r>
      <w:r>
        <w:rPr>
          <w:rFonts w:hint="eastAsia"/>
          <w:color w:val="auto"/>
          <w:lang w:val="zh-CN" w:eastAsia="zh-CN"/>
        </w:rPr>
        <w:t>及督导实务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zh-CN" w:eastAsia="zh-CN"/>
        </w:rPr>
      </w:pPr>
      <w:r>
        <w:rPr>
          <w:rFonts w:hint="eastAsia"/>
          <w:color w:val="auto"/>
          <w:lang w:val="en-US" w:eastAsia="zh-CN"/>
        </w:rPr>
        <w:t>5.</w:t>
      </w:r>
      <w:r>
        <w:rPr>
          <w:rFonts w:hint="eastAsia"/>
          <w:color w:val="auto"/>
          <w:lang w:val="zh-CN" w:eastAsia="zh-CN"/>
        </w:rPr>
        <w:t>证书平台演练与操作</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lang w:val="en-US" w:eastAsia="zh-CN"/>
        </w:rPr>
      </w:pPr>
      <w:r>
        <w:rPr>
          <w:rFonts w:hint="eastAsia"/>
          <w:color w:val="auto"/>
          <w:lang w:val="en-US" w:eastAsia="zh-CN"/>
        </w:rPr>
        <w:t>6.</w:t>
      </w:r>
      <w:r>
        <w:rPr>
          <w:rFonts w:hint="eastAsia"/>
          <w:color w:val="auto"/>
          <w:lang w:val="zh-CN" w:eastAsia="zh-CN"/>
        </w:rPr>
        <w:t>证书</w:t>
      </w:r>
      <w:r>
        <w:rPr>
          <w:rFonts w:hint="eastAsia"/>
          <w:color w:val="auto"/>
          <w:lang w:val="en-US" w:eastAsia="zh-CN"/>
        </w:rPr>
        <w:t>考务技术员及督导工作实操</w:t>
      </w:r>
      <w:r>
        <w:rPr>
          <w:rFonts w:hint="eastAsia"/>
          <w:color w:val="auto"/>
          <w:lang w:val="zh-CN" w:eastAsia="zh-CN"/>
        </w:rPr>
        <w:t>演练</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考务技术员培训考试合格后颁发幼儿照护、产后恢复培训证书及考务技术员证。</w:t>
      </w:r>
    </w:p>
    <w:p>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firstLine="640" w:firstLineChars="20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3756025</wp:posOffset>
            </wp:positionH>
            <wp:positionV relativeFrom="paragraph">
              <wp:posOffset>-210185</wp:posOffset>
            </wp:positionV>
            <wp:extent cx="1692275" cy="2360930"/>
            <wp:effectExtent l="0" t="0" r="0" b="0"/>
            <wp:wrapTight wrapText="bothSides">
              <wp:wrapPolygon>
                <wp:start x="0" y="0"/>
                <wp:lineTo x="0" y="21472"/>
                <wp:lineTo x="21397" y="21472"/>
                <wp:lineTo x="21397" y="0"/>
                <wp:lineTo x="0" y="0"/>
              </wp:wrapPolygon>
            </wp:wrapTight>
            <wp:docPr id="12" name="图片 12" descr="167971460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9714602474"/>
                    <pic:cNvPicPr>
                      <a:picLocks noChangeAspect="1"/>
                    </pic:cNvPicPr>
                  </pic:nvPicPr>
                  <pic:blipFill>
                    <a:blip r:embed="rId8"/>
                    <a:stretch>
                      <a:fillRect/>
                    </a:stretch>
                  </pic:blipFill>
                  <pic:spPr>
                    <a:xfrm>
                      <a:off x="0" y="0"/>
                      <a:ext cx="1692275" cy="2360930"/>
                    </a:xfrm>
                    <a:prstGeom prst="rect">
                      <a:avLst/>
                    </a:prstGeom>
                  </pic:spPr>
                </pic:pic>
              </a:graphicData>
            </a:graphic>
          </wp:anchor>
        </w:drawing>
      </w:r>
      <w:r>
        <w:drawing>
          <wp:anchor distT="0" distB="0" distL="114300" distR="114300" simplePos="0" relativeHeight="251665408" behindDoc="1" locked="0" layoutInCell="1" allowOverlap="1">
            <wp:simplePos x="0" y="0"/>
            <wp:positionH relativeFrom="column">
              <wp:posOffset>154305</wp:posOffset>
            </wp:positionH>
            <wp:positionV relativeFrom="paragraph">
              <wp:posOffset>18415</wp:posOffset>
            </wp:positionV>
            <wp:extent cx="3060065" cy="2164080"/>
            <wp:effectExtent l="0" t="0" r="0" b="0"/>
            <wp:wrapTight wrapText="bothSides">
              <wp:wrapPolygon>
                <wp:start x="0" y="0"/>
                <wp:lineTo x="0" y="21448"/>
                <wp:lineTo x="21515" y="21448"/>
                <wp:lineTo x="21515" y="0"/>
                <wp:lineTo x="0" y="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3060065" cy="2164080"/>
                    </a:xfrm>
                    <a:prstGeom prst="rect">
                      <a:avLst/>
                    </a:prstGeom>
                    <a:noFill/>
                    <a:ln>
                      <a:noFill/>
                    </a:ln>
                  </pic:spPr>
                </pic:pic>
              </a:graphicData>
            </a:graphic>
          </wp:anchor>
        </w:drawing>
      </w:r>
      <w:r>
        <w:rPr>
          <w:rFonts w:hint="eastAsia" w:eastAsiaTheme="minorEastAsia"/>
          <w:lang w:eastAsia="zh-CN"/>
        </w:rPr>
        <w:tab/>
      </w:r>
    </w:p>
    <w:p>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firstLine="640" w:firstLineChars="200"/>
        <w:jc w:val="left"/>
        <w:textAlignment w:val="auto"/>
        <w:rPr>
          <w:rFonts w:hint="eastAsia" w:eastAsiaTheme="minorEastAsia"/>
          <w:lang w:eastAsia="zh-CN"/>
        </w:rPr>
      </w:pPr>
    </w:p>
    <w:p>
      <w:pPr>
        <w:pStyle w:val="4"/>
        <w:keepNext w:val="0"/>
        <w:keepLines w:val="0"/>
        <w:pageBreakBefore w:val="0"/>
        <w:widowControl w:val="0"/>
        <w:numPr>
          <w:ilvl w:val="0"/>
          <w:numId w:val="0"/>
        </w:numPr>
        <w:tabs>
          <w:tab w:val="left" w:pos="576"/>
          <w:tab w:val="center" w:pos="2409"/>
        </w:tabs>
        <w:kinsoku/>
        <w:wordWrap/>
        <w:overflowPunct/>
        <w:topLinePunct w:val="0"/>
        <w:autoSpaceDE w:val="0"/>
        <w:autoSpaceDN w:val="0"/>
        <w:bidi w:val="0"/>
        <w:adjustRightInd/>
        <w:snapToGrid/>
        <w:spacing w:before="42" w:line="360" w:lineRule="auto"/>
        <w:ind w:right="771" w:rightChars="0"/>
        <w:jc w:val="left"/>
        <w:textAlignment w:val="auto"/>
        <w:rPr>
          <w:rFonts w:hint="eastAsia"/>
          <w:color w:val="auto"/>
          <w:sz w:val="24"/>
          <w:szCs w:val="24"/>
          <w:lang w:val="en-US" w:eastAsia="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left="0" w:right="0" w:rightChars="0" w:firstLine="1960" w:firstLineChars="700"/>
        <w:jc w:val="both"/>
        <w:textAlignment w:val="auto"/>
        <w:rPr>
          <w:rFonts w:hint="eastAsia" w:cs="仿宋"/>
          <w:b w:val="0"/>
          <w:bCs w:val="0"/>
          <w:color w:val="auto"/>
          <w:sz w:val="32"/>
          <w:szCs w:val="32"/>
          <w:lang w:val="en-US" w:eastAsia="zh-CN" w:bidi="zh-CN"/>
        </w:rPr>
      </w:pPr>
      <w:r>
        <w:rPr>
          <w:rFonts w:hint="eastAsia" w:ascii="仿宋" w:hAnsi="仿宋" w:eastAsia="仿宋" w:cs="仿宋"/>
          <w:color w:val="auto"/>
          <w:sz w:val="28"/>
          <w:szCs w:val="28"/>
          <w:lang w:val="en-US" w:eastAsia="zh-CN"/>
        </w:rPr>
        <w:t xml:space="preserve">培训证书                       考务技术员证 </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drawing>
          <wp:anchor distT="0" distB="0" distL="114300" distR="114300" simplePos="0" relativeHeight="251667456" behindDoc="1" locked="0" layoutInCell="1" allowOverlap="1">
            <wp:simplePos x="0" y="0"/>
            <wp:positionH relativeFrom="column">
              <wp:posOffset>3684905</wp:posOffset>
            </wp:positionH>
            <wp:positionV relativeFrom="paragraph">
              <wp:posOffset>755015</wp:posOffset>
            </wp:positionV>
            <wp:extent cx="1692275" cy="2359660"/>
            <wp:effectExtent l="0" t="0" r="14605" b="2540"/>
            <wp:wrapTight wrapText="bothSides">
              <wp:wrapPolygon>
                <wp:start x="0" y="0"/>
                <wp:lineTo x="0" y="21484"/>
                <wp:lineTo x="21397" y="21484"/>
                <wp:lineTo x="21397" y="0"/>
                <wp:lineTo x="0" y="0"/>
              </wp:wrapPolygon>
            </wp:wrapTight>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1692275" cy="2359660"/>
                    </a:xfrm>
                    <a:prstGeom prst="rect">
                      <a:avLst/>
                    </a:prstGeom>
                    <a:noFill/>
                    <a:ln>
                      <a:noFill/>
                    </a:ln>
                  </pic:spPr>
                </pic:pic>
              </a:graphicData>
            </a:graphic>
          </wp:anchor>
        </w:drawing>
      </w:r>
      <w:r>
        <w:rPr>
          <w:rFonts w:hint="eastAsia" w:cs="仿宋"/>
          <w:b w:val="0"/>
          <w:bCs w:val="0"/>
          <w:color w:val="auto"/>
          <w:sz w:val="32"/>
          <w:szCs w:val="32"/>
          <w:lang w:val="en-US" w:eastAsia="zh-CN" w:bidi="zh-CN"/>
        </w:rPr>
        <w:t>督导员培训考试合格后颁发幼儿照护、产后恢复培训证书及督导员证。</w:t>
      </w:r>
    </w:p>
    <w:p>
      <w:pPr>
        <w:pStyle w:val="4"/>
        <w:numPr>
          <w:ilvl w:val="0"/>
          <w:numId w:val="0"/>
        </w:numPr>
        <w:spacing w:before="42" w:line="367" w:lineRule="auto"/>
        <w:ind w:right="771" w:rightChars="0"/>
        <w:jc w:val="center"/>
        <w:rPr>
          <w:color w:val="auto"/>
        </w:rPr>
      </w:pPr>
      <w:r>
        <w:drawing>
          <wp:anchor distT="0" distB="0" distL="114300" distR="114300" simplePos="0" relativeHeight="251668480" behindDoc="1" locked="0" layoutInCell="1" allowOverlap="1">
            <wp:simplePos x="0" y="0"/>
            <wp:positionH relativeFrom="column">
              <wp:posOffset>133985</wp:posOffset>
            </wp:positionH>
            <wp:positionV relativeFrom="paragraph">
              <wp:posOffset>160020</wp:posOffset>
            </wp:positionV>
            <wp:extent cx="3060065" cy="2164080"/>
            <wp:effectExtent l="0" t="0" r="3175" b="0"/>
            <wp:wrapTight wrapText="bothSides">
              <wp:wrapPolygon>
                <wp:start x="0" y="0"/>
                <wp:lineTo x="0" y="21448"/>
                <wp:lineTo x="21515" y="21448"/>
                <wp:lineTo x="21515" y="0"/>
                <wp:lineTo x="0" y="0"/>
              </wp:wrapPolygon>
            </wp:wrapTight>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3060065" cy="2164080"/>
                    </a:xfrm>
                    <a:prstGeom prst="rect">
                      <a:avLst/>
                    </a:prstGeom>
                    <a:noFill/>
                    <a:ln>
                      <a:noFill/>
                    </a:ln>
                  </pic:spPr>
                </pic:pic>
              </a:graphicData>
            </a:graphic>
          </wp:anchor>
        </w:drawing>
      </w:r>
    </w:p>
    <w:p>
      <w:pPr>
        <w:pStyle w:val="4"/>
        <w:numPr>
          <w:ilvl w:val="0"/>
          <w:numId w:val="0"/>
        </w:numPr>
        <w:spacing w:before="42" w:line="367" w:lineRule="auto"/>
        <w:ind w:right="771" w:rightChars="0"/>
        <w:jc w:val="both"/>
        <w:rPr>
          <w:rFonts w:hint="eastAsia" w:ascii="仿宋" w:hAnsi="仿宋" w:eastAsia="仿宋" w:cs="仿宋"/>
          <w:color w:val="auto"/>
          <w:sz w:val="28"/>
          <w:szCs w:val="28"/>
          <w:lang w:val="en-US" w:eastAsia="zh-CN"/>
        </w:rPr>
      </w:pPr>
      <w:r>
        <w:rPr>
          <w:rFonts w:hint="eastAsia"/>
          <w:color w:val="auto"/>
          <w:lang w:val="en-US" w:eastAsia="zh-CN"/>
        </w:rPr>
        <w:t xml:space="preserve">           </w:t>
      </w:r>
    </w:p>
    <w:p>
      <w:pPr>
        <w:pStyle w:val="4"/>
        <w:numPr>
          <w:ilvl w:val="0"/>
          <w:numId w:val="0"/>
        </w:numPr>
        <w:spacing w:before="42" w:line="367" w:lineRule="auto"/>
        <w:ind w:right="771" w:rightChars="0" w:firstLine="1960" w:firstLineChars="7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培训证书                          督导员证</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为确保培训质量，本期培训班报名上限设定为80人，名额报满自动截止，超出名额顺延至下期参训。</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center"/>
        <w:textAlignment w:val="auto"/>
        <w:rPr>
          <w:rFonts w:hint="eastAsia" w:eastAsia="仿宋"/>
          <w:color w:val="auto"/>
          <w:lang w:eastAsia="zh-CN"/>
        </w:rPr>
      </w:pPr>
      <w:r>
        <w:rPr>
          <w:rFonts w:hint="eastAsia" w:eastAsia="仿宋"/>
          <w:color w:val="auto"/>
          <w:lang w:eastAsia="zh-CN"/>
        </w:rPr>
        <w:drawing>
          <wp:inline distT="0" distB="0" distL="114300" distR="114300">
            <wp:extent cx="1800225" cy="1800225"/>
            <wp:effectExtent l="0" t="0" r="9525" b="9525"/>
            <wp:docPr id="5" name="图片 5" descr="1期考务督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期考务督导"/>
                    <pic:cNvPicPr>
                      <a:picLocks noChangeAspect="1"/>
                    </pic:cNvPicPr>
                  </pic:nvPicPr>
                  <pic:blipFill>
                    <a:blip r:embed="rId12"/>
                    <a:stretch>
                      <a:fillRect/>
                    </a:stretch>
                  </pic:blipFill>
                  <pic:spPr>
                    <a:xfrm>
                      <a:off x="0" y="0"/>
                      <a:ext cx="1800225" cy="180022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0" w:firstLineChars="0"/>
        <w:jc w:val="center"/>
        <w:textAlignment w:val="auto"/>
        <w:rPr>
          <w:color w:val="auto"/>
        </w:rPr>
      </w:pPr>
      <w:r>
        <w:rPr>
          <w:color w:val="auto"/>
        </w:rPr>
        <w:t>（承载</w:t>
      </w:r>
      <w:r>
        <w:rPr>
          <w:rFonts w:hint="eastAsia"/>
          <w:color w:val="auto"/>
          <w:lang w:val="en-US" w:eastAsia="zh-CN"/>
        </w:rPr>
        <w:t>80</w:t>
      </w:r>
      <w:r>
        <w:rPr>
          <w:color w:val="auto"/>
        </w:rPr>
        <w:t>人，报满即止）</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1.参训人员可通过银行汇款、刷卡、微信、支付宝等方式支付培训费用。为保证您能正常支付费用，请注意携带贵单位的公务卡，并提前确定好刷卡额度。</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2.总费用包含食宿费、场地费、培训资料费（培训手册、政策汇编等）、师资差旅及劳务</w:t>
      </w:r>
      <w:r>
        <w:rPr>
          <w:rFonts w:hint="eastAsia" w:cs="仿宋"/>
          <w:b w:val="0"/>
          <w:bCs w:val="0"/>
          <w:color w:val="auto"/>
          <w:sz w:val="32"/>
          <w:szCs w:val="32"/>
          <w:lang w:val="en-US" w:eastAsia="zh-CN" w:bidi="zh-CN"/>
        </w:rPr>
        <w:t>费</w:t>
      </w:r>
      <w:r>
        <w:rPr>
          <w:rFonts w:hint="eastAsia" w:ascii="仿宋" w:hAnsi="仿宋" w:eastAsia="仿宋" w:cs="仿宋"/>
          <w:b w:val="0"/>
          <w:bCs w:val="0"/>
          <w:color w:val="auto"/>
          <w:sz w:val="32"/>
          <w:szCs w:val="32"/>
          <w:lang w:val="en-US" w:eastAsia="zh-CN" w:bidi="zh-CN"/>
        </w:rPr>
        <w:t>、管理费等；</w:t>
      </w:r>
      <w:r>
        <w:rPr>
          <w:rFonts w:hint="eastAsia" w:cs="仿宋"/>
          <w:b w:val="0"/>
          <w:bCs w:val="0"/>
          <w:color w:val="auto"/>
          <w:sz w:val="32"/>
          <w:szCs w:val="32"/>
          <w:lang w:val="en-US" w:eastAsia="zh-CN" w:bidi="zh-CN"/>
        </w:rPr>
        <w:t>参与</w:t>
      </w:r>
      <w:r>
        <w:rPr>
          <w:rFonts w:hint="eastAsia" w:ascii="仿宋" w:hAnsi="仿宋" w:eastAsia="仿宋" w:cs="仿宋"/>
          <w:b w:val="0"/>
          <w:bCs w:val="0"/>
          <w:color w:val="auto"/>
          <w:sz w:val="32"/>
          <w:szCs w:val="32"/>
          <w:lang w:val="en-US" w:eastAsia="zh-CN" w:bidi="zh-CN"/>
        </w:rPr>
        <w:t>人员往返长沙的交通差旅费由所在单位自行承担。</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3.</w:t>
      </w:r>
      <w:r>
        <w:rPr>
          <w:rFonts w:hint="eastAsia" w:cs="仿宋"/>
          <w:b w:val="0"/>
          <w:bCs w:val="0"/>
          <w:color w:val="auto"/>
          <w:sz w:val="32"/>
          <w:szCs w:val="32"/>
          <w:lang w:val="en-US" w:eastAsia="zh-CN" w:bidi="zh-CN"/>
        </w:rPr>
        <w:t>培训缴费</w:t>
      </w:r>
      <w:r>
        <w:rPr>
          <w:rFonts w:hint="eastAsia" w:ascii="仿宋" w:hAnsi="仿宋" w:eastAsia="仿宋" w:cs="仿宋"/>
          <w:b w:val="0"/>
          <w:bCs w:val="0"/>
          <w:color w:val="auto"/>
          <w:sz w:val="32"/>
          <w:szCs w:val="32"/>
          <w:lang w:val="en-US" w:eastAsia="zh-CN" w:bidi="zh-CN"/>
        </w:rPr>
        <w:t>标准如下：</w:t>
      </w:r>
      <w:r>
        <w:rPr>
          <w:rFonts w:hint="eastAsia" w:cs="仿宋"/>
          <w:b w:val="0"/>
          <w:bCs w:val="0"/>
          <w:color w:val="auto"/>
          <w:sz w:val="32"/>
          <w:szCs w:val="32"/>
          <w:lang w:val="en-US" w:eastAsia="zh-CN" w:bidi="zh-CN"/>
        </w:rPr>
        <w:t>本次培训住宿可提供单间和标间，其中</w:t>
      </w:r>
      <w:r>
        <w:rPr>
          <w:rFonts w:hint="eastAsia" w:ascii="仿宋" w:hAnsi="仿宋" w:eastAsia="仿宋" w:cs="仿宋"/>
          <w:b w:val="0"/>
          <w:bCs w:val="0"/>
          <w:color w:val="auto"/>
          <w:sz w:val="32"/>
          <w:szCs w:val="32"/>
          <w:lang w:val="en-US" w:eastAsia="zh-CN" w:bidi="zh-CN"/>
        </w:rPr>
        <w:t>住单间缴费</w:t>
      </w:r>
      <w:r>
        <w:rPr>
          <w:rFonts w:hint="eastAsia" w:cs="仿宋"/>
          <w:b w:val="0"/>
          <w:bCs w:val="0"/>
          <w:color w:val="auto"/>
          <w:sz w:val="32"/>
          <w:szCs w:val="32"/>
          <w:lang w:val="en-US" w:eastAsia="zh-CN" w:bidi="zh-CN"/>
        </w:rPr>
        <w:t>2480</w:t>
      </w:r>
      <w:r>
        <w:rPr>
          <w:rFonts w:hint="eastAsia" w:ascii="仿宋" w:hAnsi="仿宋" w:eastAsia="仿宋" w:cs="仿宋"/>
          <w:b w:val="0"/>
          <w:bCs w:val="0"/>
          <w:color w:val="auto"/>
          <w:sz w:val="32"/>
          <w:szCs w:val="32"/>
          <w:lang w:val="en-US" w:eastAsia="zh-CN" w:bidi="zh-CN"/>
        </w:rPr>
        <w:t>元/人，住标间缴费</w:t>
      </w:r>
      <w:r>
        <w:rPr>
          <w:rFonts w:hint="eastAsia" w:cs="仿宋"/>
          <w:b w:val="0"/>
          <w:bCs w:val="0"/>
          <w:color w:val="auto"/>
          <w:sz w:val="32"/>
          <w:szCs w:val="32"/>
          <w:lang w:val="en-US" w:eastAsia="zh-CN" w:bidi="zh-CN"/>
        </w:rPr>
        <w:t>2180</w:t>
      </w:r>
      <w:r>
        <w:rPr>
          <w:rFonts w:hint="eastAsia" w:ascii="仿宋" w:hAnsi="仿宋" w:eastAsia="仿宋" w:cs="仿宋"/>
          <w:b w:val="0"/>
          <w:bCs w:val="0"/>
          <w:color w:val="auto"/>
          <w:sz w:val="32"/>
          <w:szCs w:val="32"/>
          <w:lang w:val="en-US" w:eastAsia="zh-CN" w:bidi="zh-CN"/>
        </w:rPr>
        <w:t>元/人。</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en-US" w:eastAsia="zh-CN" w:bidi="zh-CN"/>
        </w:rPr>
      </w:pPr>
      <w:r>
        <w:rPr>
          <w:rFonts w:hint="eastAsia" w:ascii="仿宋" w:hAnsi="仿宋" w:eastAsia="仿宋" w:cs="仿宋"/>
          <w:b w:val="0"/>
          <w:bCs w:val="0"/>
          <w:color w:val="auto"/>
          <w:sz w:val="32"/>
          <w:szCs w:val="32"/>
          <w:lang w:val="en-US" w:eastAsia="zh-CN" w:bidi="zh-CN"/>
        </w:rPr>
        <w:t>4.参与</w:t>
      </w:r>
      <w:r>
        <w:rPr>
          <w:rFonts w:hint="eastAsia" w:cs="仿宋"/>
          <w:b w:val="0"/>
          <w:bCs w:val="0"/>
          <w:color w:val="auto"/>
          <w:sz w:val="32"/>
          <w:szCs w:val="32"/>
          <w:lang w:val="en-US" w:eastAsia="zh-CN" w:bidi="zh-CN"/>
        </w:rPr>
        <w:t>过</w:t>
      </w:r>
      <w:r>
        <w:rPr>
          <w:rFonts w:hint="eastAsia" w:ascii="仿宋" w:hAnsi="仿宋" w:eastAsia="仿宋" w:cs="仿宋"/>
          <w:b w:val="0"/>
          <w:bCs w:val="0"/>
          <w:color w:val="auto"/>
          <w:sz w:val="32"/>
          <w:szCs w:val="32"/>
          <w:lang w:val="en-US" w:eastAsia="zh-CN" w:bidi="zh-CN"/>
        </w:rPr>
        <w:t>线上</w:t>
      </w:r>
      <w:r>
        <w:rPr>
          <w:rFonts w:hint="eastAsia" w:cs="仿宋"/>
          <w:b w:val="0"/>
          <w:bCs w:val="0"/>
          <w:color w:val="auto"/>
          <w:sz w:val="32"/>
          <w:szCs w:val="32"/>
          <w:lang w:val="en-US" w:eastAsia="zh-CN" w:bidi="zh-CN"/>
        </w:rPr>
        <w:t>考务技术及督导员</w:t>
      </w:r>
      <w:r>
        <w:rPr>
          <w:rFonts w:hint="eastAsia" w:ascii="仿宋" w:hAnsi="仿宋" w:eastAsia="仿宋" w:cs="仿宋"/>
          <w:b w:val="0"/>
          <w:bCs w:val="0"/>
          <w:color w:val="auto"/>
          <w:sz w:val="32"/>
          <w:szCs w:val="32"/>
          <w:lang w:val="en-US" w:eastAsia="zh-CN" w:bidi="zh-CN"/>
        </w:rPr>
        <w:t>培训班的老师可报名复训，免培训费。培训期间食宿统一安排，费用自理。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220" w:leftChars="100" w:right="0" w:rightChars="0" w:firstLine="640" w:firstLineChars="200"/>
        <w:jc w:val="both"/>
        <w:textAlignment w:val="auto"/>
        <w:rPr>
          <w:rFonts w:hint="eastAsia" w:ascii="仿宋" w:hAnsi="仿宋" w:eastAsia="仿宋" w:cs="仿宋"/>
          <w:b w:val="0"/>
          <w:bCs w:val="0"/>
          <w:color w:val="auto"/>
          <w:sz w:val="32"/>
          <w:szCs w:val="32"/>
          <w:lang w:val="zh-CN" w:eastAsia="zh-CN" w:bidi="zh-CN"/>
        </w:rPr>
      </w:pPr>
      <w:r>
        <w:rPr>
          <w:rFonts w:hint="eastAsia" w:cs="仿宋"/>
          <w:b w:val="0"/>
          <w:bCs w:val="0"/>
          <w:color w:val="auto"/>
          <w:sz w:val="32"/>
          <w:szCs w:val="32"/>
          <w:lang w:val="en-US" w:eastAsia="zh-CN" w:bidi="zh-CN"/>
        </w:rPr>
        <w:t>5.</w:t>
      </w:r>
      <w:r>
        <w:rPr>
          <w:rFonts w:hint="eastAsia" w:ascii="仿宋" w:hAnsi="仿宋" w:eastAsia="仿宋" w:cs="仿宋"/>
          <w:b w:val="0"/>
          <w:bCs w:val="0"/>
          <w:color w:val="auto"/>
          <w:sz w:val="32"/>
          <w:szCs w:val="32"/>
          <w:lang w:val="zh-CN" w:eastAsia="zh-CN" w:bidi="zh-CN"/>
        </w:rPr>
        <w:t>通过公对公转账方式支付相关费用的，请老师报名时向我司财务人员出示转账截图，以便后期账务核实。以下为我司账户信息：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请认真阅读附件1、附件2、附件3、并在报到当天配合提交</w:t>
      </w:r>
      <w:r>
        <w:rPr>
          <w:rFonts w:hint="eastAsia" w:ascii="仿宋" w:hAnsi="仿宋" w:eastAsia="仿宋" w:cs="仿宋"/>
          <w:b w:val="0"/>
          <w:bCs w:val="0"/>
          <w:color w:val="auto"/>
          <w:sz w:val="32"/>
          <w:szCs w:val="32"/>
          <w:lang w:val="en-US" w:eastAsia="zh-CN" w:bidi="zh-CN"/>
        </w:rPr>
        <w:t>附件</w:t>
      </w:r>
      <w:r>
        <w:rPr>
          <w:rFonts w:hint="eastAsia" w:cs="仿宋"/>
          <w:b w:val="0"/>
          <w:bCs w:val="0"/>
          <w:color w:val="auto"/>
          <w:sz w:val="32"/>
          <w:szCs w:val="32"/>
          <w:lang w:val="en-US" w:eastAsia="zh-CN" w:bidi="zh-CN"/>
        </w:rPr>
        <w:t>4（填写并盖章一份交给会务组保留）</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eastAsia" w:cs="仿宋"/>
          <w:b/>
          <w:bCs/>
          <w:color w:val="auto"/>
          <w:sz w:val="32"/>
          <w:szCs w:val="32"/>
          <w:lang w:val="en-US" w:eastAsia="zh-CN" w:bidi="zh-CN"/>
        </w:rPr>
      </w:pPr>
      <w:r>
        <w:rPr>
          <w:rFonts w:hint="eastAsia" w:cs="仿宋"/>
          <w:b/>
          <w:bCs/>
          <w:color w:val="auto"/>
          <w:sz w:val="32"/>
          <w:szCs w:val="32"/>
          <w:lang w:val="en-US" w:eastAsia="zh-CN" w:bidi="zh-CN"/>
        </w:rPr>
        <w:t xml:space="preserve">培训各项事务咨询：李小龙 </w:t>
      </w:r>
      <w:r>
        <w:rPr>
          <w:rFonts w:hint="eastAsia" w:ascii="仿宋" w:hAnsi="仿宋" w:eastAsia="仿宋" w:cs="仿宋"/>
          <w:b/>
          <w:bCs/>
          <w:color w:val="000000"/>
          <w:kern w:val="0"/>
          <w:sz w:val="31"/>
          <w:szCs w:val="31"/>
          <w:lang w:val="en-US" w:eastAsia="zh-CN" w:bidi="ar"/>
        </w:rPr>
        <w:t>18569578314</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598" w:leftChars="290" w:right="0" w:rightChars="0" w:hanging="960" w:hangingChars="3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595" w:leftChars="725" w:right="0" w:rightChars="0" w:firstLine="0" w:firstLineChars="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w:t>
      </w:r>
      <w:r>
        <w:rPr>
          <w:rFonts w:hint="eastAsia" w:cs="仿宋"/>
          <w:b w:val="0"/>
          <w:bCs w:val="0"/>
          <w:color w:val="auto"/>
          <w:sz w:val="32"/>
          <w:szCs w:val="32"/>
          <w:lang w:val="en-US" w:eastAsia="zh-CN" w:bidi="zh-CN"/>
        </w:rPr>
        <w:t>产后恢复</w:t>
      </w:r>
      <w:r>
        <w:rPr>
          <w:rFonts w:hint="eastAsia" w:cs="仿宋"/>
          <w:b w:val="0"/>
          <w:bCs w:val="0"/>
          <w:color w:val="auto"/>
          <w:sz w:val="32"/>
          <w:szCs w:val="32"/>
          <w:lang w:val="zh-CN" w:eastAsia="zh-CN" w:bidi="zh-CN"/>
        </w:rPr>
        <w:t>职业技能等级证书</w:t>
      </w:r>
      <w:r>
        <w:rPr>
          <w:rFonts w:hint="eastAsia" w:cs="仿宋"/>
          <w:b w:val="0"/>
          <w:bCs w:val="0"/>
          <w:color w:val="auto"/>
          <w:sz w:val="32"/>
          <w:szCs w:val="32"/>
          <w:lang w:val="en-US" w:eastAsia="zh-CN" w:bidi="zh-CN"/>
        </w:rPr>
        <w:t>考务技术及督导员</w:t>
      </w:r>
      <w:r>
        <w:rPr>
          <w:rFonts w:hint="eastAsia" w:cs="仿宋"/>
          <w:b w:val="0"/>
          <w:bCs w:val="0"/>
          <w:color w:val="auto"/>
          <w:sz w:val="32"/>
          <w:szCs w:val="32"/>
          <w:lang w:val="zh-CN" w:eastAsia="zh-CN" w:bidi="zh-CN"/>
        </w:rPr>
        <w:t>培训推荐表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left="1595" w:leftChars="725" w:right="0" w:rightChars="0" w:firstLine="0" w:firstLineChars="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auto"/>
          <w:sz w:val="32"/>
          <w:szCs w:val="32"/>
          <w:lang w:val="en-US" w:eastAsia="zh-CN" w:bidi="zh-CN"/>
        </w:rPr>
        <w:t>产后恢复</w:t>
      </w:r>
      <w:r>
        <w:rPr>
          <w:rFonts w:hint="eastAsia" w:cs="仿宋"/>
          <w:b w:val="0"/>
          <w:bCs w:val="0"/>
          <w:color w:val="auto"/>
          <w:sz w:val="32"/>
          <w:szCs w:val="32"/>
          <w:lang w:val="zh-CN" w:eastAsia="zh-CN" w:bidi="zh-CN"/>
        </w:rPr>
        <w:t>职业技能等级证书</w:t>
      </w:r>
      <w:r>
        <w:rPr>
          <w:rFonts w:hint="eastAsia" w:cs="仿宋"/>
          <w:b w:val="0"/>
          <w:bCs w:val="0"/>
          <w:color w:val="auto"/>
          <w:sz w:val="32"/>
          <w:szCs w:val="32"/>
          <w:lang w:val="en-US" w:eastAsia="zh-CN" w:bidi="zh-CN"/>
        </w:rPr>
        <w:t>考务技术及督导员考评工作承诺书</w:t>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rPr>
      </w:pPr>
      <w:r>
        <w:rPr>
          <w:rFonts w:hint="eastAsia" w:ascii="仿宋" w:hAnsi="仿宋" w:eastAsia="仿宋" w:cs="仿宋"/>
          <w:color w:val="auto"/>
          <w:sz w:val="32"/>
          <w:szCs w:val="32"/>
          <w:lang w:val="zh-CN" w:eastAsia="zh-CN" w:bidi="zh-CN"/>
        </w:rPr>
        <w:drawing>
          <wp:anchor distT="0" distB="0" distL="0" distR="0" simplePos="0" relativeHeight="251661312" behindDoc="1" locked="0" layoutInCell="1" allowOverlap="1">
            <wp:simplePos x="0" y="0"/>
            <wp:positionH relativeFrom="page">
              <wp:posOffset>4705985</wp:posOffset>
            </wp:positionH>
            <wp:positionV relativeFrom="paragraph">
              <wp:posOffset>295275</wp:posOffset>
            </wp:positionV>
            <wp:extent cx="1510030" cy="15271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3" cstate="print"/>
                    <a:stretch>
                      <a:fillRect/>
                    </a:stretch>
                  </pic:blipFill>
                  <pic:spPr>
                    <a:xfrm>
                      <a:off x="0" y="0"/>
                      <a:ext cx="1510332" cy="1527271"/>
                    </a:xfrm>
                    <a:prstGeom prst="rect">
                      <a:avLst/>
                    </a:prstGeom>
                  </pic:spPr>
                </pic:pic>
              </a:graphicData>
            </a:graphic>
          </wp:anchor>
        </w:drawing>
      </w:r>
    </w:p>
    <w:p>
      <w:pPr>
        <w:pStyle w:val="4"/>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rPr>
      </w:pPr>
    </w:p>
    <w:p>
      <w:pPr>
        <w:pStyle w:val="4"/>
        <w:ind w:right="10" w:rightChars="0"/>
        <w:jc w:val="center"/>
        <w:rPr>
          <w:color w:val="auto"/>
        </w:rPr>
      </w:pPr>
      <w:r>
        <w:rPr>
          <w:rFonts w:hint="eastAsia"/>
          <w:color w:val="auto"/>
          <w:w w:val="95"/>
          <w:lang w:val="en-US" w:eastAsia="zh-CN"/>
        </w:rPr>
        <w:t xml:space="preserve">                              </w:t>
      </w:r>
      <w:r>
        <w:rPr>
          <w:color w:val="auto"/>
          <w:w w:val="95"/>
        </w:rPr>
        <w:t>湖南金职伟业母婴护理有限公司</w:t>
      </w:r>
    </w:p>
    <w:p>
      <w:pPr>
        <w:pStyle w:val="4"/>
        <w:spacing w:before="222"/>
        <w:ind w:right="10" w:rightChars="0"/>
        <w:jc w:val="center"/>
        <w:rPr>
          <w:rFonts w:hint="eastAsia"/>
          <w:color w:val="auto"/>
          <w:sz w:val="32"/>
          <w:szCs w:val="32"/>
        </w:rPr>
        <w:sectPr>
          <w:footerReference r:id="rId5" w:type="default"/>
          <w:pgSz w:w="11910" w:h="16840"/>
          <w:pgMar w:top="2098" w:right="1474" w:bottom="1984" w:left="1587" w:header="0" w:footer="1211" w:gutter="0"/>
          <w:pgNumType w:fmt="decimal"/>
          <w:cols w:space="720" w:num="1"/>
        </w:sectPr>
      </w:pPr>
      <w:r>
        <w:rPr>
          <w:rFonts w:hint="eastAsia"/>
          <w:color w:val="auto"/>
          <w:lang w:val="en-US" w:eastAsia="zh-CN"/>
        </w:rPr>
        <w:t xml:space="preserve">                            </w:t>
      </w:r>
      <w:r>
        <w:rPr>
          <w:rFonts w:hint="eastAsia"/>
          <w:color w:val="auto"/>
          <w:lang w:eastAsia="zh-CN"/>
        </w:rPr>
        <w:t>202</w:t>
      </w:r>
      <w:r>
        <w:rPr>
          <w:rFonts w:hint="eastAsia"/>
          <w:color w:val="auto"/>
          <w:lang w:val="en-US" w:eastAsia="zh-CN"/>
        </w:rPr>
        <w:t>5</w:t>
      </w:r>
      <w:r>
        <w:rPr>
          <w:rFonts w:hint="eastAsia"/>
          <w:color w:val="auto"/>
          <w:lang w:eastAsia="zh-CN"/>
        </w:rPr>
        <w:t>年</w:t>
      </w:r>
      <w:r>
        <w:rPr>
          <w:rFonts w:hint="eastAsia"/>
          <w:color w:val="auto"/>
          <w:lang w:val="en-US" w:eastAsia="zh-CN"/>
        </w:rPr>
        <w:t>06</w:t>
      </w:r>
      <w:r>
        <w:rPr>
          <w:color w:val="auto"/>
        </w:rPr>
        <w:t>月</w:t>
      </w:r>
      <w:r>
        <w:rPr>
          <w:rFonts w:hint="eastAsia"/>
          <w:color w:val="auto"/>
          <w:lang w:val="en-US" w:eastAsia="zh-CN"/>
        </w:rPr>
        <w:t>11日</w:t>
      </w:r>
    </w:p>
    <w:p>
      <w:pPr>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pPr>
        <w:spacing w:before="20"/>
        <w:ind w:right="0"/>
        <w:jc w:val="distribute"/>
        <w:rPr>
          <w:rFonts w:hint="eastAsia" w:ascii="宋体" w:eastAsia="宋体"/>
          <w:b/>
          <w:color w:val="FF0000"/>
          <w:sz w:val="56"/>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pPr>
        <w:pStyle w:val="4"/>
        <w:spacing w:before="5"/>
        <w:rPr>
          <w:rFonts w:ascii="宋体"/>
          <w:b/>
          <w:color w:val="auto"/>
          <w:sz w:val="28"/>
          <w:szCs w:val="20"/>
        </w:rPr>
      </w:pPr>
      <w:r>
        <w:rPr>
          <w:color w:val="auto"/>
        </w:rPr>
        <mc:AlternateContent>
          <mc:Choice Requires="wps">
            <w:drawing>
              <wp:anchor distT="0" distB="0" distL="114300" distR="114300" simplePos="0" relativeHeight="251664384" behindDoc="1" locked="0" layoutInCell="1" allowOverlap="1">
                <wp:simplePos x="0" y="0"/>
                <wp:positionH relativeFrom="page">
                  <wp:posOffset>795020</wp:posOffset>
                </wp:positionH>
                <wp:positionV relativeFrom="paragraph">
                  <wp:posOffset>68580</wp:posOffset>
                </wp:positionV>
                <wp:extent cx="6066155" cy="125095"/>
                <wp:effectExtent l="0" t="0" r="14605" b="12065"/>
                <wp:wrapTopAndBottom/>
                <wp:docPr id="4" name="任意多边形 4"/>
                <wp:cNvGraphicFramePr/>
                <a:graphic xmlns:a="http://schemas.openxmlformats.org/drawingml/2006/main">
                  <a:graphicData uri="http://schemas.microsoft.com/office/word/2010/wordprocessingShape">
                    <wps:wsp>
                      <wps:cNvSpPr/>
                      <wps:spPr>
                        <a:xfrm>
                          <a:off x="0" y="0"/>
                          <a:ext cx="6066155" cy="125095"/>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2.6pt;margin-top:5.4pt;height:9.85pt;width:477.65pt;mso-position-horizontal-relative:page;mso-wrap-distance-bottom:0pt;mso-wrap-distance-top:0pt;z-index:-251652096;mso-width-relative:page;mso-height-relative:page;" fillcolor="#FF0000" filled="t" stroked="f" coordsize="9406,158" o:gfxdata="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uKQ/faAAAACgEAAA8AAAAAAAAAAQAg&#10;AAAAIgAAAGRycy9kb3ducmV2LnhtbFBLAQIUABQAAAAIAIdO4kBrNDAmRQIAAFEFAAAOAAAAAAAA&#10;AAEAIAAAACkBAABkcnMvZTJvRG9jLnhtbFBLBQYAAAAABgAGAFkBAADgBQAAAAA=&#10;" path="m0,98l0,8,9406,0,9406,90,0,98xm0,158l0,128,9406,120,9406,150,0,158xe">
                <v:fill on="t" focussize="0,0"/>
                <v:stroke on="f"/>
                <v:imagedata o:title=""/>
                <o:lock v:ext="edit" aspectratio="f"/>
                <w10:wrap type="topAndBottom"/>
              </v:shape>
            </w:pict>
          </mc:Fallback>
        </mc:AlternateConten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4" w:name="关于湖南金职伟业现代家庭产业发展有限公司主体的说明"/>
      <w:bookmarkEnd w:id="4"/>
      <w:r>
        <w:rPr>
          <w:rFonts w:hint="eastAsia" w:ascii="方正小标宋简体" w:hAnsi="方正小标宋简体" w:eastAsia="方正小标宋简体" w:cs="方正小标宋简体"/>
          <w:b w:val="0"/>
          <w:bCs w:val="0"/>
          <w:color w:val="auto"/>
          <w:sz w:val="44"/>
          <w:szCs w:val="44"/>
          <w:lang w:val="en-US" w:eastAsia="zh-CN" w:bidi="zh-CN"/>
        </w:rPr>
        <w:t>关于金职伟业集团有限公司收费主体的说明</w:t>
      </w:r>
    </w:p>
    <w:p>
      <w:pPr>
        <w:pStyle w:val="4"/>
        <w:rPr>
          <w:b/>
          <w:color w:val="auto"/>
          <w:sz w:val="52"/>
        </w:r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w:t>
      </w:r>
      <w:r>
        <w:rPr>
          <w:rFonts w:hint="eastAsia"/>
          <w:color w:val="auto"/>
          <w:sz w:val="32"/>
          <w:szCs w:val="32"/>
          <w:lang w:val="en-US" w:eastAsia="zh-CN"/>
        </w:rPr>
        <w:t xml:space="preserve"> </w:t>
      </w:r>
      <w:r>
        <w:rPr>
          <w:rFonts w:hint="eastAsia"/>
          <w:color w:val="auto"/>
          <w:sz w:val="32"/>
          <w:szCs w:val="32"/>
          <w:lang w:val="zh-CN" w:eastAsia="zh-CN"/>
        </w:rPr>
        <w:t>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现金职伟业集团有限公司对2025年第一期1+X幼儿照护、产后恢复职业技能等级证书考务技术与督导员培训班进行收款，</w:t>
      </w:r>
      <w:r>
        <w:rPr>
          <w:rFonts w:hint="eastAsia"/>
          <w:color w:val="auto"/>
          <w:sz w:val="32"/>
          <w:szCs w:val="32"/>
          <w:lang w:val="zh-CN" w:eastAsia="zh-CN"/>
        </w:rPr>
        <w:t>特此说明。</w:t>
      </w: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eastAsia="仿宋"/>
          <w:color w:val="auto"/>
          <w:sz w:val="32"/>
          <w:szCs w:val="32"/>
          <w:lang w:eastAsia="zh-CN"/>
        </w:rPr>
        <w:drawing>
          <wp:anchor distT="0" distB="0" distL="114300" distR="114300" simplePos="0" relativeHeight="251665408" behindDoc="1" locked="0" layoutInCell="1" allowOverlap="1">
            <wp:simplePos x="0" y="0"/>
            <wp:positionH relativeFrom="column">
              <wp:posOffset>3367405</wp:posOffset>
            </wp:positionH>
            <wp:positionV relativeFrom="paragraph">
              <wp:posOffset>73025</wp:posOffset>
            </wp:positionV>
            <wp:extent cx="2345055" cy="2459355"/>
            <wp:effectExtent l="0" t="0" r="1905" b="9525"/>
            <wp:wrapNone/>
            <wp:docPr id="8" name="图片 8"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f82c38a0a5aedcbac440eb1377cef"/>
                    <pic:cNvPicPr>
                      <a:picLocks noChangeAspect="1"/>
                    </pic:cNvPicPr>
                  </pic:nvPicPr>
                  <pic:blipFill>
                    <a:blip r:embed="rId14"/>
                    <a:stretch>
                      <a:fillRect/>
                    </a:stretch>
                  </pic:blipFill>
                  <pic:spPr>
                    <a:xfrm>
                      <a:off x="0" y="0"/>
                      <a:ext cx="2345055" cy="2459355"/>
                    </a:xfrm>
                    <a:prstGeom prst="rect">
                      <a:avLst/>
                    </a:prstGeom>
                  </pic:spPr>
                </pic:pic>
              </a:graphicData>
            </a:graphic>
          </wp:anchor>
        </w:drawing>
      </w:r>
    </w:p>
    <w:p>
      <w:pPr>
        <w:pStyle w:val="7"/>
        <w:rPr>
          <w:rFonts w:hint="eastAsia"/>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center"/>
        <w:textAlignment w:val="auto"/>
        <w:rPr>
          <w:rFonts w:hint="eastAsia"/>
          <w:color w:val="auto"/>
          <w:sz w:val="32"/>
          <w:szCs w:val="32"/>
          <w:lang w:val="en-US" w:eastAsia="zh-CN"/>
        </w:rPr>
      </w:pPr>
      <w:r>
        <w:rPr>
          <w:rFonts w:hint="eastAsia"/>
          <w:color w:val="auto"/>
          <w:sz w:val="32"/>
          <w:szCs w:val="32"/>
          <w:lang w:val="en-US" w:eastAsia="zh-CN"/>
        </w:rPr>
        <w:t xml:space="preserve">                               金职伟业集团有限公司</w:t>
      </w: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center"/>
        <w:textAlignment w:val="auto"/>
        <w:rPr>
          <w:rFonts w:hint="default" w:eastAsia="仿宋"/>
          <w:color w:val="auto"/>
          <w:sz w:val="32"/>
          <w:szCs w:val="32"/>
          <w:lang w:val="en-US" w:eastAsia="zh-CN"/>
        </w:rPr>
      </w:pPr>
      <w:r>
        <w:rPr>
          <w:rFonts w:hint="eastAsia"/>
          <w:color w:val="auto"/>
          <w:sz w:val="32"/>
          <w:szCs w:val="32"/>
          <w:lang w:val="en-US" w:eastAsia="zh-CN"/>
        </w:rPr>
        <w:t xml:space="preserve">                                   2025年06月11日</w:t>
      </w:r>
    </w:p>
    <w:p>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pPr>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w:t>
      </w: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 xml:space="preserve">安排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ascii="仿宋" w:hAnsi="仿宋" w:eastAsia="仿宋" w:cs="仿宋"/>
          <w:color w:val="0000FF"/>
          <w:sz w:val="32"/>
          <w:szCs w:val="32"/>
          <w:highlight w:val="none"/>
          <w:lang w:val="zh-CN" w:eastAsia="zh-CN" w:bidi="zh-CN"/>
        </w:rPr>
      </w:pPr>
      <w:r>
        <w:rPr>
          <w:rFonts w:hint="eastAsia"/>
          <w:color w:val="auto"/>
          <w:sz w:val="32"/>
          <w:szCs w:val="32"/>
          <w:lang w:val="en-US" w:eastAsia="zh-CN"/>
        </w:rPr>
        <w:t>培训</w:t>
      </w:r>
      <w:r>
        <w:rPr>
          <w:rFonts w:hint="eastAsia"/>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b w:val="0"/>
          <w:bCs w:val="0"/>
          <w:color w:val="auto"/>
          <w:sz w:val="32"/>
          <w:szCs w:val="32"/>
          <w:lang w:val="en-US" w:eastAsia="zh-CN"/>
        </w:rPr>
        <w:t>7</w:t>
      </w:r>
      <w:r>
        <w:rPr>
          <w:rFonts w:hint="eastAsia"/>
          <w:color w:val="auto"/>
          <w:sz w:val="32"/>
          <w:szCs w:val="32"/>
          <w:lang w:val="en-US" w:eastAsia="zh-CN"/>
        </w:rPr>
        <w:t>月24日-7月26日共3晚，培训结束当晚不提供住宿。本次培训提供标准间（两人一</w:t>
      </w:r>
      <w:r>
        <w:rPr>
          <w:rFonts w:hint="eastAsia"/>
          <w:color w:val="auto"/>
          <w:sz w:val="32"/>
          <w:szCs w:val="32"/>
        </w:rPr>
        <w:t>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3</w:t>
      </w:r>
      <w:r>
        <w:rPr>
          <w:rFonts w:hint="eastAsia"/>
          <w:color w:val="auto"/>
          <w:sz w:val="32"/>
          <w:szCs w:val="32"/>
        </w:rPr>
        <w:t>次早餐、</w:t>
      </w:r>
      <w:r>
        <w:rPr>
          <w:rFonts w:hint="eastAsia"/>
          <w:color w:val="auto"/>
          <w:sz w:val="32"/>
          <w:szCs w:val="32"/>
          <w:lang w:val="en-US" w:eastAsia="zh-CN"/>
        </w:rPr>
        <w:t>3</w:t>
      </w:r>
      <w:r>
        <w:rPr>
          <w:rFonts w:hint="eastAsia"/>
          <w:color w:val="auto"/>
          <w:sz w:val="32"/>
          <w:szCs w:val="32"/>
        </w:rPr>
        <w:t>次中餐、</w:t>
      </w:r>
      <w:r>
        <w:rPr>
          <w:rFonts w:hint="eastAsia"/>
          <w:color w:val="auto"/>
          <w:sz w:val="32"/>
          <w:szCs w:val="32"/>
          <w:lang w:val="en-US" w:eastAsia="zh-CN"/>
        </w:rPr>
        <w:t>2</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textAlignment w:val="auto"/>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二、发票说明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b/>
          <w:bCs/>
          <w:color w:val="auto"/>
          <w:sz w:val="32"/>
          <w:szCs w:val="32"/>
          <w:lang w:val="en-US" w:eastAsia="zh-CN"/>
        </w:rPr>
        <w:t>金职伟业集团有限公司</w:t>
      </w:r>
      <w:r>
        <w:rPr>
          <w:rFonts w:hint="eastAsia"/>
          <w:color w:val="auto"/>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、其他相关问题说明</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default" w:eastAsia="仿宋"/>
          <w:color w:val="auto"/>
          <w:sz w:val="32"/>
          <w:szCs w:val="32"/>
          <w:lang w:val="en-US" w:eastAsia="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7月24日</w:t>
      </w:r>
      <w:r>
        <w:rPr>
          <w:rFonts w:hint="eastAsia"/>
          <w:color w:val="auto"/>
          <w:sz w:val="32"/>
          <w:szCs w:val="32"/>
        </w:rPr>
        <w:t>14:00-20:00至</w:t>
      </w:r>
      <w:r>
        <w:rPr>
          <w:rFonts w:hint="eastAsia"/>
          <w:color w:val="auto"/>
          <w:sz w:val="32"/>
          <w:szCs w:val="32"/>
          <w:highlight w:val="none"/>
          <w:lang w:val="en-US" w:eastAsia="zh-CN"/>
        </w:rPr>
        <w:t>班级微信群通知的酒店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rPr>
        <w:t>会务组仅在上述时间办理报到手续，特殊的行程安排，请提前告知。</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2.</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3.如在培训期间需要工作人员指导申报试点院校的，请准备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；按比例（40名学生:</w:t>
      </w:r>
      <w:bookmarkStart w:id="5" w:name="_GoBack"/>
      <w:bookmarkEnd w:id="5"/>
      <w:r>
        <w:rPr>
          <w:rFonts w:hint="eastAsia"/>
          <w:color w:val="auto"/>
          <w:sz w:val="32"/>
          <w:szCs w:val="32"/>
        </w:rPr>
        <w:t>2名</w:t>
      </w:r>
      <w:r>
        <w:rPr>
          <w:rFonts w:hint="eastAsia"/>
          <w:color w:val="auto"/>
          <w:sz w:val="32"/>
          <w:szCs w:val="32"/>
          <w:lang w:val="en-US" w:eastAsia="zh-CN"/>
        </w:rPr>
        <w:t>考评员</w:t>
      </w:r>
      <w:r>
        <w:rPr>
          <w:rFonts w:hint="default"/>
          <w:color w:val="auto"/>
          <w:sz w:val="32"/>
          <w:szCs w:val="32"/>
        </w:rPr>
        <w:t>、1名考务技术员</w:t>
      </w:r>
      <w:r>
        <w:rPr>
          <w:rFonts w:hint="eastAsia"/>
          <w:color w:val="auto"/>
          <w:sz w:val="32"/>
          <w:szCs w:val="32"/>
        </w:rPr>
        <w:t>)的考评员</w:t>
      </w:r>
      <w:r>
        <w:rPr>
          <w:rFonts w:hint="eastAsia"/>
          <w:color w:val="auto"/>
          <w:sz w:val="32"/>
          <w:szCs w:val="32"/>
          <w:lang w:val="en-US" w:eastAsia="zh-Hans"/>
        </w:rPr>
        <w:t>及</w:t>
      </w:r>
      <w:r>
        <w:rPr>
          <w:rFonts w:hint="eastAsia"/>
          <w:color w:val="auto"/>
          <w:sz w:val="32"/>
          <w:szCs w:val="32"/>
          <w:lang w:val="en-US" w:eastAsia="zh-CN"/>
        </w:rPr>
        <w:t>考务技术员资料</w:t>
      </w:r>
      <w:r>
        <w:rPr>
          <w:rFonts w:hint="eastAsia"/>
          <w:color w:val="auto"/>
          <w:sz w:val="32"/>
          <w:szCs w:val="32"/>
        </w:rPr>
        <w:t>、</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附件5：幼儿照护、产后恢复职业技能等级证书考务技术及督导员考评工作承诺书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pPr>
        <w:rPr>
          <w:rFonts w:hint="eastAsia"/>
          <w:color w:val="auto"/>
          <w:sz w:val="32"/>
          <w:szCs w:val="32"/>
        </w:rPr>
      </w:pPr>
      <w:r>
        <w:rPr>
          <w:rFonts w:hint="eastAsia"/>
          <w:color w:val="auto"/>
          <w:sz w:val="32"/>
          <w:szCs w:val="32"/>
        </w:rPr>
        <w:br w:type="page"/>
      </w:r>
    </w:p>
    <w:p>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0" w:firstLineChars="0"/>
        <w:jc w:val="center"/>
        <w:textAlignment w:val="auto"/>
        <w:rPr>
          <w:rFonts w:hint="eastAsia"/>
          <w:color w:val="auto"/>
          <w:sz w:val="32"/>
          <w:szCs w:val="32"/>
        </w:rPr>
      </w:pPr>
      <w:r>
        <w:rPr>
          <w:rFonts w:hint="eastAsia" w:ascii="黑体" w:hAnsi="黑体" w:eastAsia="黑体" w:cs="黑体"/>
          <w:color w:val="auto"/>
          <w:sz w:val="32"/>
          <w:szCs w:val="32"/>
        </w:rPr>
        <w:t>免责声明</w:t>
      </w:r>
    </w:p>
    <w:p>
      <w:pPr>
        <w:spacing w:after="0" w:line="360" w:lineRule="auto"/>
        <w:ind w:right="68" w:rightChars="31" w:firstLine="640" w:firstLineChars="200"/>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pPr>
        <w:spacing w:after="0" w:line="360" w:lineRule="auto"/>
        <w:ind w:right="-150" w:rightChars="-68" w:firstLine="640" w:firstLineChars="200"/>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pPr>
        <w:spacing w:after="0" w:line="360" w:lineRule="auto"/>
        <w:ind w:firstLine="640" w:firstLineChars="200"/>
        <w:rPr>
          <w:rFonts w:hint="eastAsia"/>
          <w:color w:val="auto"/>
          <w:sz w:val="32"/>
          <w:szCs w:val="32"/>
          <w:lang w:val="en-US" w:eastAsia="zh-CN"/>
        </w:rPr>
      </w:pPr>
      <w:r>
        <w:rPr>
          <w:rFonts w:hint="eastAsia"/>
          <w:color w:val="auto"/>
          <w:sz w:val="32"/>
          <w:szCs w:val="32"/>
          <w:lang w:val="en-US" w:eastAsia="zh-CN"/>
        </w:rPr>
        <w:t>特此声明！</w:t>
      </w:r>
    </w:p>
    <w:p>
      <w:pPr>
        <w:spacing w:after="0" w:line="360" w:lineRule="auto"/>
        <w:ind w:firstLine="640" w:firstLineChars="200"/>
        <w:jc w:val="right"/>
        <w:rPr>
          <w:rFonts w:hint="eastAsia"/>
          <w:color w:val="auto"/>
          <w:sz w:val="32"/>
          <w:szCs w:val="32"/>
          <w:lang w:val="en-US" w:eastAsia="zh-CN"/>
        </w:rPr>
      </w:pPr>
    </w:p>
    <w:p>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3360" behindDoc="1" locked="0" layoutInCell="1" allowOverlap="1">
            <wp:simplePos x="0" y="0"/>
            <wp:positionH relativeFrom="page">
              <wp:posOffset>4824095</wp:posOffset>
            </wp:positionH>
            <wp:positionV relativeFrom="paragraph">
              <wp:posOffset>387350</wp:posOffset>
            </wp:positionV>
            <wp:extent cx="1510030" cy="1527175"/>
            <wp:effectExtent l="0" t="0" r="13970" b="15875"/>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a:picLocks noChangeAspect="1"/>
                    </pic:cNvPicPr>
                  </pic:nvPicPr>
                  <pic:blipFill>
                    <a:blip r:embed="rId13" cstate="print"/>
                    <a:stretch>
                      <a:fillRect/>
                    </a:stretch>
                  </pic:blipFill>
                  <pic:spPr>
                    <a:xfrm>
                      <a:off x="0" y="0"/>
                      <a:ext cx="1510030" cy="1527175"/>
                    </a:xfrm>
                    <a:prstGeom prst="rect">
                      <a:avLst/>
                    </a:prstGeom>
                  </pic:spPr>
                </pic:pic>
              </a:graphicData>
            </a:graphic>
          </wp:anchor>
        </w:drawing>
      </w:r>
    </w:p>
    <w:p>
      <w:pPr>
        <w:spacing w:after="0" w:line="360" w:lineRule="auto"/>
        <w:ind w:firstLine="640" w:firstLineChars="200"/>
        <w:jc w:val="right"/>
        <w:rPr>
          <w:rFonts w:hint="eastAsia"/>
          <w:color w:val="auto"/>
          <w:sz w:val="32"/>
          <w:szCs w:val="32"/>
          <w:lang w:val="en-US" w:eastAsia="zh-CN"/>
        </w:rPr>
      </w:pPr>
    </w:p>
    <w:p>
      <w:pPr>
        <w:spacing w:after="0" w:line="360" w:lineRule="auto"/>
        <w:ind w:firstLine="640" w:firstLineChars="200"/>
        <w:jc w:val="center"/>
        <w:rPr>
          <w:rFonts w:hint="eastAsia"/>
          <w:color w:val="auto"/>
          <w:sz w:val="32"/>
          <w:szCs w:val="32"/>
          <w:lang w:val="en-US" w:eastAsia="zh-CN"/>
        </w:rPr>
      </w:pPr>
      <w:r>
        <w:rPr>
          <w:rFonts w:hint="eastAsia"/>
          <w:color w:val="auto"/>
          <w:sz w:val="32"/>
          <w:szCs w:val="32"/>
          <w:lang w:val="en-US" w:eastAsia="zh-CN"/>
        </w:rPr>
        <w:t xml:space="preserve">                       湖南金职伟业母婴护理有限公司</w:t>
      </w:r>
    </w:p>
    <w:p>
      <w:pPr>
        <w:spacing w:after="0" w:line="360" w:lineRule="auto"/>
        <w:ind w:firstLine="640" w:firstLineChars="200"/>
        <w:jc w:val="center"/>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2025年06月11日</w:t>
      </w:r>
    </w:p>
    <w:p>
      <w:pPr>
        <w:pStyle w:val="4"/>
        <w:spacing w:before="55"/>
        <w:rPr>
          <w:rFonts w:hint="eastAsia" w:ascii="黑体" w:hAnsi="黑体" w:eastAsia="黑体" w:cs="黑体"/>
          <w:color w:val="auto"/>
          <w:lang w:val="en-US" w:eastAsia="zh-CN"/>
        </w:rPr>
      </w:pPr>
      <w:r>
        <w:rPr>
          <w:rFonts w:hint="eastAsia" w:ascii="黑体" w:hAnsi="黑体" w:eastAsia="黑体" w:cs="黑体"/>
          <w:color w:val="auto"/>
          <w:lang w:val="en-US" w:eastAsia="zh-CN"/>
        </w:rPr>
        <w:t>附件4</w:t>
      </w:r>
    </w:p>
    <w:p>
      <w:pPr>
        <w:pStyle w:val="4"/>
        <w:spacing w:before="55"/>
        <w:rPr>
          <w:rFonts w:hint="eastAsia" w:ascii="黑体" w:hAnsi="黑体" w:eastAsia="黑体" w:cs="黑体"/>
          <w:color w:val="auto"/>
          <w:lang w:val="en-US" w:eastAsia="zh-CN"/>
        </w:rPr>
      </w:pPr>
    </w:p>
    <w:p>
      <w:pPr>
        <w:pStyle w:val="4"/>
        <w:spacing w:before="55"/>
        <w:ind w:firstLine="840" w:firstLineChars="300"/>
        <w:jc w:val="both"/>
        <w:rPr>
          <w:rFonts w:hint="eastAsia" w:ascii="黑体" w:eastAsia="黑体"/>
          <w:color w:val="auto"/>
          <w:sz w:val="28"/>
        </w:rPr>
      </w:pPr>
      <w:r>
        <w:rPr>
          <w:rFonts w:hint="eastAsia" w:ascii="黑体" w:eastAsia="黑体"/>
          <w:color w:val="auto"/>
          <w:sz w:val="28"/>
          <w:lang w:val="en-US" w:eastAsia="zh-CN"/>
        </w:rPr>
        <w:t>幼儿照护、产后恢复职业技能等级证书考务技术及督导员</w:t>
      </w:r>
      <w:r>
        <w:rPr>
          <w:rFonts w:hint="eastAsia" w:ascii="黑体" w:eastAsia="黑体"/>
          <w:color w:val="auto"/>
          <w:sz w:val="28"/>
        </w:rPr>
        <w:t>培训推荐表</w:t>
      </w:r>
    </w:p>
    <w:p>
      <w:pPr>
        <w:tabs>
          <w:tab w:val="left" w:pos="7400"/>
          <w:tab w:val="left" w:pos="8502"/>
          <w:tab w:val="left" w:pos="9051"/>
        </w:tabs>
        <w:spacing w:before="152" w:after="17"/>
        <w:ind w:left="6301" w:right="0" w:firstLine="0"/>
        <w:jc w:val="left"/>
        <w:rPr>
          <w:color w:val="auto"/>
          <w:sz w:val="22"/>
        </w:rPr>
      </w:pP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5</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1328"/>
        <w:gridCol w:w="643"/>
        <w:gridCol w:w="396"/>
        <w:gridCol w:w="757"/>
        <w:gridCol w:w="301"/>
        <w:gridCol w:w="1025"/>
        <w:gridCol w:w="1484"/>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1499" w:type="dxa"/>
          </w:tcPr>
          <w:p>
            <w:pPr>
              <w:pStyle w:val="13"/>
              <w:spacing w:before="7"/>
              <w:rPr>
                <w:rFonts w:ascii="仿宋"/>
                <w:color w:val="auto"/>
                <w:sz w:val="16"/>
              </w:rPr>
            </w:pPr>
          </w:p>
          <w:p>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1328" w:type="dxa"/>
          </w:tcPr>
          <w:p>
            <w:pPr>
              <w:pStyle w:val="13"/>
              <w:rPr>
                <w:rFonts w:ascii="Times New Roman"/>
                <w:color w:val="auto"/>
                <w:sz w:val="22"/>
              </w:rPr>
            </w:pPr>
          </w:p>
        </w:tc>
        <w:tc>
          <w:tcPr>
            <w:tcW w:w="643" w:type="dxa"/>
          </w:tcPr>
          <w:p>
            <w:pPr>
              <w:pStyle w:val="13"/>
              <w:spacing w:before="7"/>
              <w:rPr>
                <w:rFonts w:ascii="仿宋"/>
                <w:color w:val="auto"/>
                <w:sz w:val="16"/>
              </w:rPr>
            </w:pPr>
          </w:p>
          <w:p>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1153" w:type="dxa"/>
            <w:gridSpan w:val="2"/>
          </w:tcPr>
          <w:p>
            <w:pPr>
              <w:pStyle w:val="13"/>
              <w:rPr>
                <w:rFonts w:ascii="Times New Roman"/>
                <w:color w:val="auto"/>
                <w:sz w:val="22"/>
              </w:rPr>
            </w:pPr>
          </w:p>
        </w:tc>
        <w:tc>
          <w:tcPr>
            <w:tcW w:w="1326" w:type="dxa"/>
            <w:gridSpan w:val="2"/>
          </w:tcPr>
          <w:p>
            <w:pPr>
              <w:pStyle w:val="13"/>
              <w:spacing w:before="7"/>
              <w:rPr>
                <w:rFonts w:ascii="仿宋"/>
                <w:color w:val="auto"/>
                <w:sz w:val="16"/>
              </w:rPr>
            </w:pPr>
          </w:p>
          <w:p>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1484" w:type="dxa"/>
          </w:tcPr>
          <w:p>
            <w:pPr>
              <w:pStyle w:val="13"/>
              <w:rPr>
                <w:rFonts w:ascii="Times New Roman"/>
                <w:color w:val="auto"/>
                <w:sz w:val="22"/>
              </w:rPr>
            </w:pPr>
          </w:p>
        </w:tc>
        <w:tc>
          <w:tcPr>
            <w:tcW w:w="1823" w:type="dxa"/>
            <w:vMerge w:val="restart"/>
          </w:tcPr>
          <w:p>
            <w:pPr>
              <w:pStyle w:val="13"/>
              <w:rPr>
                <w:rFonts w:ascii="仿宋"/>
                <w:color w:val="auto"/>
                <w:sz w:val="22"/>
              </w:rPr>
            </w:pPr>
          </w:p>
          <w:p>
            <w:pPr>
              <w:pStyle w:val="13"/>
              <w:rPr>
                <w:rFonts w:ascii="仿宋"/>
                <w:color w:val="auto"/>
                <w:sz w:val="22"/>
              </w:rPr>
            </w:pPr>
          </w:p>
          <w:p>
            <w:pPr>
              <w:pStyle w:val="13"/>
              <w:spacing w:before="8"/>
              <w:rPr>
                <w:rFonts w:ascii="仿宋"/>
                <w:color w:val="auto"/>
                <w:sz w:val="24"/>
              </w:rPr>
            </w:pPr>
          </w:p>
          <w:p>
            <w:pPr>
              <w:pStyle w:val="13"/>
              <w:ind w:left="634" w:right="619"/>
              <w:jc w:val="center"/>
              <w:rPr>
                <w:rFonts w:hint="eastAsia" w:ascii="仿宋" w:eastAsia="仿宋"/>
                <w:color w:val="auto"/>
                <w:sz w:val="22"/>
              </w:rPr>
            </w:pPr>
            <w:r>
              <w:rPr>
                <w:rFonts w:hint="eastAsia" w:ascii="仿宋" w:eastAsia="仿宋"/>
                <w:color w:val="auto"/>
                <w:sz w:val="22"/>
              </w:rPr>
              <w:t>寸照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499" w:type="dxa"/>
          </w:tcPr>
          <w:p>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1328" w:type="dxa"/>
          </w:tcPr>
          <w:p>
            <w:pPr>
              <w:pStyle w:val="13"/>
              <w:rPr>
                <w:rFonts w:ascii="Times New Roman"/>
                <w:color w:val="auto"/>
                <w:sz w:val="22"/>
              </w:rPr>
            </w:pPr>
          </w:p>
        </w:tc>
        <w:tc>
          <w:tcPr>
            <w:tcW w:w="643" w:type="dxa"/>
          </w:tcPr>
          <w:p>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1153" w:type="dxa"/>
            <w:gridSpan w:val="2"/>
          </w:tcPr>
          <w:p>
            <w:pPr>
              <w:pStyle w:val="13"/>
              <w:rPr>
                <w:rFonts w:ascii="Times New Roman"/>
                <w:color w:val="auto"/>
                <w:sz w:val="22"/>
              </w:rPr>
            </w:pPr>
          </w:p>
        </w:tc>
        <w:tc>
          <w:tcPr>
            <w:tcW w:w="1326" w:type="dxa"/>
            <w:gridSpan w:val="2"/>
          </w:tcPr>
          <w:p>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1484" w:type="dxa"/>
          </w:tcPr>
          <w:p>
            <w:pPr>
              <w:pStyle w:val="13"/>
              <w:rPr>
                <w:rFonts w:ascii="Times New Roman"/>
                <w:color w:val="auto"/>
                <w:sz w:val="22"/>
              </w:rPr>
            </w:pPr>
          </w:p>
        </w:tc>
        <w:tc>
          <w:tcPr>
            <w:tcW w:w="1823"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1499" w:type="dxa"/>
          </w:tcPr>
          <w:p>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3124" w:type="dxa"/>
            <w:gridSpan w:val="4"/>
          </w:tcPr>
          <w:p>
            <w:pPr>
              <w:pStyle w:val="13"/>
              <w:rPr>
                <w:rFonts w:ascii="Times New Roman"/>
                <w:color w:val="auto"/>
                <w:sz w:val="22"/>
              </w:rPr>
            </w:pPr>
          </w:p>
        </w:tc>
        <w:tc>
          <w:tcPr>
            <w:tcW w:w="1326" w:type="dxa"/>
            <w:gridSpan w:val="2"/>
          </w:tcPr>
          <w:p>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1484" w:type="dxa"/>
          </w:tcPr>
          <w:p>
            <w:pPr>
              <w:pStyle w:val="13"/>
              <w:rPr>
                <w:rFonts w:ascii="Times New Roman"/>
                <w:color w:val="auto"/>
                <w:sz w:val="22"/>
              </w:rPr>
            </w:pPr>
          </w:p>
        </w:tc>
        <w:tc>
          <w:tcPr>
            <w:tcW w:w="1823"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1499" w:type="dxa"/>
          </w:tcPr>
          <w:p>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3124" w:type="dxa"/>
            <w:gridSpan w:val="4"/>
          </w:tcPr>
          <w:p>
            <w:pPr>
              <w:pStyle w:val="13"/>
              <w:rPr>
                <w:rFonts w:ascii="Times New Roman"/>
                <w:color w:val="auto"/>
                <w:sz w:val="22"/>
              </w:rPr>
            </w:pPr>
          </w:p>
        </w:tc>
        <w:tc>
          <w:tcPr>
            <w:tcW w:w="1326" w:type="dxa"/>
            <w:gridSpan w:val="2"/>
          </w:tcPr>
          <w:p>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3307" w:type="dxa"/>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1499" w:type="dxa"/>
          </w:tcPr>
          <w:p>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3124" w:type="dxa"/>
            <w:gridSpan w:val="4"/>
          </w:tcPr>
          <w:p>
            <w:pPr>
              <w:pStyle w:val="13"/>
              <w:rPr>
                <w:rFonts w:ascii="Times New Roman"/>
                <w:color w:val="auto"/>
                <w:sz w:val="22"/>
              </w:rPr>
            </w:pPr>
          </w:p>
        </w:tc>
        <w:tc>
          <w:tcPr>
            <w:tcW w:w="1326" w:type="dxa"/>
            <w:gridSpan w:val="2"/>
          </w:tcPr>
          <w:p>
            <w:pPr>
              <w:pStyle w:val="13"/>
              <w:rPr>
                <w:rFonts w:ascii="仿宋"/>
                <w:color w:val="auto"/>
                <w:sz w:val="16"/>
              </w:rPr>
            </w:pPr>
          </w:p>
          <w:p>
            <w:pPr>
              <w:pStyle w:val="13"/>
              <w:ind w:left="33"/>
              <w:rPr>
                <w:rFonts w:hint="eastAsia" w:ascii="仿宋" w:eastAsia="仿宋"/>
                <w:b/>
                <w:color w:val="auto"/>
                <w:sz w:val="22"/>
              </w:rPr>
            </w:pPr>
            <w:r>
              <w:rPr>
                <w:rFonts w:hint="eastAsia" w:ascii="仿宋" w:eastAsia="仿宋"/>
                <w:b/>
                <w:color w:val="auto"/>
                <w:sz w:val="22"/>
              </w:rPr>
              <w:t>等级/职称</w:t>
            </w:r>
          </w:p>
        </w:tc>
        <w:tc>
          <w:tcPr>
            <w:tcW w:w="3307" w:type="dxa"/>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1499" w:type="dxa"/>
          </w:tcPr>
          <w:p>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3124" w:type="dxa"/>
            <w:gridSpan w:val="4"/>
          </w:tcPr>
          <w:p>
            <w:pPr>
              <w:pStyle w:val="13"/>
              <w:rPr>
                <w:rFonts w:ascii="Times New Roman"/>
                <w:color w:val="auto"/>
                <w:sz w:val="22"/>
              </w:rPr>
            </w:pPr>
          </w:p>
        </w:tc>
        <w:tc>
          <w:tcPr>
            <w:tcW w:w="1326" w:type="dxa"/>
            <w:gridSpan w:val="2"/>
          </w:tcPr>
          <w:p>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3307" w:type="dxa"/>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99" w:type="dxa"/>
          </w:tcPr>
          <w:p>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3124" w:type="dxa"/>
            <w:gridSpan w:val="4"/>
          </w:tcPr>
          <w:p>
            <w:pPr>
              <w:pStyle w:val="13"/>
              <w:rPr>
                <w:rFonts w:ascii="Times New Roman"/>
                <w:color w:val="auto"/>
                <w:sz w:val="22"/>
              </w:rPr>
            </w:pPr>
          </w:p>
        </w:tc>
        <w:tc>
          <w:tcPr>
            <w:tcW w:w="1326" w:type="dxa"/>
            <w:gridSpan w:val="2"/>
          </w:tcPr>
          <w:p>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3307" w:type="dxa"/>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1499" w:type="dxa"/>
          </w:tcPr>
          <w:p>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1328" w:type="dxa"/>
          </w:tcPr>
          <w:p>
            <w:pPr>
              <w:pStyle w:val="13"/>
              <w:rPr>
                <w:rFonts w:ascii="Times New Roman"/>
                <w:color w:val="auto"/>
                <w:sz w:val="22"/>
              </w:rPr>
            </w:pPr>
          </w:p>
        </w:tc>
        <w:tc>
          <w:tcPr>
            <w:tcW w:w="1039" w:type="dxa"/>
            <w:gridSpan w:val="2"/>
          </w:tcPr>
          <w:p>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2083" w:type="dxa"/>
            <w:gridSpan w:val="3"/>
          </w:tcPr>
          <w:p>
            <w:pPr>
              <w:pStyle w:val="13"/>
              <w:rPr>
                <w:rFonts w:ascii="Times New Roman"/>
                <w:color w:val="auto"/>
                <w:sz w:val="22"/>
              </w:rPr>
            </w:pPr>
          </w:p>
        </w:tc>
        <w:tc>
          <w:tcPr>
            <w:tcW w:w="1484" w:type="dxa"/>
          </w:tcPr>
          <w:p>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1823" w:type="dxa"/>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jc w:val="center"/>
        </w:trPr>
        <w:tc>
          <w:tcPr>
            <w:tcW w:w="1499" w:type="dxa"/>
            <w:textDirection w:val="tbLrV"/>
          </w:tcPr>
          <w:p>
            <w:pPr>
              <w:pStyle w:val="13"/>
              <w:ind w:left="113" w:right="113"/>
              <w:rPr>
                <w:rFonts w:ascii="仿宋"/>
                <w:color w:val="auto"/>
                <w:sz w:val="22"/>
              </w:rPr>
            </w:pPr>
          </w:p>
          <w:p>
            <w:pPr>
              <w:pStyle w:val="13"/>
              <w:spacing w:before="11"/>
              <w:ind w:left="113" w:right="113"/>
              <w:rPr>
                <w:rFonts w:ascii="仿宋"/>
                <w:color w:val="auto"/>
                <w:sz w:val="18"/>
              </w:rPr>
            </w:pPr>
          </w:p>
          <w:p>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7757" w:type="dxa"/>
            <w:gridSpan w:val="8"/>
          </w:tcPr>
          <w:p>
            <w:pPr>
              <w:pStyle w:val="13"/>
              <w:spacing w:before="3"/>
              <w:ind w:left="459" w:right="-15"/>
              <w:rPr>
                <w:rFonts w:hint="eastAsia" w:ascii="仿宋" w:hAnsi="仿宋" w:eastAsia="仿宋"/>
                <w:color w:val="auto"/>
                <w:sz w:val="24"/>
              </w:rPr>
            </w:pPr>
            <w:r>
              <w:rPr>
                <w:rFonts w:hint="eastAsia" w:ascii="仿宋" w:hAnsi="仿宋" w:eastAsia="仿宋"/>
                <w:color w:val="auto"/>
                <w:spacing w:val="-1"/>
                <w:sz w:val="24"/>
              </w:rPr>
              <w:t>本人自愿申请成为幼儿照护证书考评员□、考务技术员□、督导员</w:t>
            </w:r>
          </w:p>
          <w:p>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8" w:hRule="atLeast"/>
          <w:jc w:val="center"/>
        </w:trPr>
        <w:tc>
          <w:tcPr>
            <w:tcW w:w="1499" w:type="dxa"/>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791" w:leftChars="0" w:right="113"/>
              <w:rPr>
                <w:rFonts w:hint="eastAsia" w:ascii="仿宋" w:eastAsia="仿宋"/>
                <w:color w:val="auto"/>
                <w:sz w:val="22"/>
              </w:rPr>
            </w:pPr>
            <w:r>
              <w:rPr>
                <w:rFonts w:hint="eastAsia" w:ascii="仿宋" w:eastAsia="仿宋"/>
                <w:color w:val="auto"/>
                <w:sz w:val="22"/>
              </w:rPr>
              <w:t>个人简介</w:t>
            </w:r>
          </w:p>
        </w:tc>
        <w:tc>
          <w:tcPr>
            <w:tcW w:w="7757" w:type="dxa"/>
            <w:gridSpan w:val="8"/>
          </w:tcPr>
          <w:p>
            <w:pPr>
              <w:pStyle w:val="13"/>
              <w:jc w:val="center"/>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5" w:hRule="atLeast"/>
          <w:jc w:val="center"/>
        </w:trPr>
        <w:tc>
          <w:tcPr>
            <w:tcW w:w="1499" w:type="dxa"/>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1328" w:type="dxa"/>
            <w:tcBorders>
              <w:right w:val="nil"/>
            </w:tcBorders>
          </w:tcPr>
          <w:p>
            <w:pPr>
              <w:pStyle w:val="13"/>
              <w:rPr>
                <w:rFonts w:ascii="Times New Roman"/>
                <w:color w:val="auto"/>
                <w:sz w:val="22"/>
              </w:rPr>
            </w:pPr>
          </w:p>
        </w:tc>
        <w:tc>
          <w:tcPr>
            <w:tcW w:w="643" w:type="dxa"/>
            <w:tcBorders>
              <w:left w:val="nil"/>
              <w:right w:val="nil"/>
            </w:tcBorders>
          </w:tcPr>
          <w:p>
            <w:pPr>
              <w:pStyle w:val="13"/>
              <w:rPr>
                <w:rFonts w:ascii="Times New Roman"/>
                <w:color w:val="auto"/>
                <w:sz w:val="22"/>
              </w:rPr>
            </w:pPr>
          </w:p>
        </w:tc>
        <w:tc>
          <w:tcPr>
            <w:tcW w:w="1454" w:type="dxa"/>
            <w:gridSpan w:val="3"/>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1025" w:type="dxa"/>
            <w:tcBorders>
              <w:left w:val="nil"/>
              <w:right w:val="nil"/>
            </w:tcBorders>
          </w:tcPr>
          <w:p>
            <w:pPr>
              <w:pStyle w:val="13"/>
              <w:spacing w:before="1"/>
              <w:rPr>
                <w:rFonts w:ascii="仿宋"/>
                <w:color w:val="auto"/>
                <w:sz w:val="26"/>
              </w:rPr>
            </w:pPr>
          </w:p>
          <w:p>
            <w:pPr>
              <w:pStyle w:val="13"/>
              <w:ind w:left="93" w:right="184"/>
              <w:jc w:val="center"/>
              <w:rPr>
                <w:rFonts w:hint="eastAsia" w:ascii="仿宋" w:eastAsia="仿宋"/>
                <w:b/>
                <w:color w:val="auto"/>
                <w:sz w:val="22"/>
              </w:rPr>
            </w:pPr>
            <w:r>
              <w:rPr>
                <w:rFonts w:hint="eastAsia" w:ascii="仿宋" w:eastAsia="仿宋"/>
                <w:b/>
                <w:color w:val="auto"/>
                <w:sz w:val="22"/>
              </w:rPr>
              <w:t>盖章：</w:t>
            </w:r>
          </w:p>
          <w:p>
            <w:pPr>
              <w:pStyle w:val="13"/>
              <w:rPr>
                <w:rFonts w:ascii="仿宋"/>
                <w:color w:val="auto"/>
                <w:sz w:val="22"/>
              </w:rPr>
            </w:pPr>
          </w:p>
          <w:p>
            <w:pPr>
              <w:pStyle w:val="13"/>
              <w:spacing w:before="7"/>
              <w:rPr>
                <w:rFonts w:ascii="仿宋"/>
                <w:color w:val="auto"/>
                <w:sz w:val="29"/>
              </w:rPr>
            </w:pPr>
          </w:p>
          <w:p>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1484" w:type="dxa"/>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1823" w:type="dxa"/>
            <w:tcBorders>
              <w:left w:val="nil"/>
            </w:tcBorders>
          </w:tcPr>
          <w:p>
            <w:pPr>
              <w:pStyle w:val="13"/>
              <w:rPr>
                <w:rFonts w:ascii="Times New Roman"/>
                <w:color w:val="auto"/>
                <w:sz w:val="22"/>
              </w:rPr>
            </w:pPr>
          </w:p>
        </w:tc>
      </w:tr>
    </w:tbl>
    <w:p>
      <w:pPr>
        <w:spacing w:after="0"/>
        <w:rPr>
          <w:color w:val="auto"/>
          <w:sz w:val="24"/>
        </w:rPr>
        <w:sectPr>
          <w:footerReference r:id="rId6" w:type="default"/>
          <w:pgSz w:w="11910" w:h="16840"/>
          <w:pgMar w:top="1460" w:right="800" w:bottom="1400" w:left="980" w:header="0" w:footer="1211" w:gutter="0"/>
          <w:pgNumType w:fmt="decimal"/>
          <w:cols w:space="720" w:num="1"/>
        </w:sectPr>
      </w:pPr>
    </w:p>
    <w:p>
      <w:pPr>
        <w:pStyle w:val="4"/>
        <w:spacing w:before="54"/>
        <w:rPr>
          <w:rFonts w:hint="eastAsia" w:ascii="黑体" w:hAnsi="黑体" w:eastAsia="黑体" w:cs="黑体"/>
          <w:color w:val="auto"/>
          <w:lang w:val="en-US" w:eastAsia="zh-CN"/>
        </w:rPr>
      </w:pPr>
      <w:r>
        <w:rPr>
          <w:rFonts w:hint="eastAsia" w:ascii="黑体" w:hAnsi="黑体" w:eastAsia="黑体" w:cs="黑体"/>
          <w:color w:val="auto"/>
        </w:rPr>
        <w:t>附件</w:t>
      </w:r>
      <w:r>
        <w:rPr>
          <w:rFonts w:hint="eastAsia" w:ascii="黑体" w:hAnsi="黑体" w:eastAsia="黑体" w:cs="黑体"/>
          <w:color w:val="auto"/>
          <w:lang w:val="en-US" w:eastAsia="zh-CN"/>
        </w:rPr>
        <w:t>5</w:t>
      </w:r>
    </w:p>
    <w:p>
      <w:pPr>
        <w:pStyle w:val="4"/>
        <w:spacing w:before="54"/>
        <w:ind w:left="326"/>
        <w:jc w:val="center"/>
        <w:rPr>
          <w:rFonts w:hint="eastAsia" w:ascii="仿宋" w:hAnsi="仿宋" w:eastAsia="仿宋" w:cs="仿宋"/>
          <w:color w:val="auto"/>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ind w:left="4899" w:leftChars="336" w:right="0" w:hanging="4160" w:hangingChars="1300"/>
        <w:jc w:val="left"/>
        <w:textAlignment w:val="auto"/>
        <w:rPr>
          <w:rFonts w:hint="eastAsia" w:ascii="黑体" w:hAnsi="黑体" w:eastAsia="黑体" w:cs="黑体"/>
          <w:b w:val="0"/>
          <w:bCs w:val="0"/>
          <w:color w:val="auto"/>
          <w:lang w:val="en-US" w:eastAsia="zh-CN"/>
        </w:rPr>
      </w:pPr>
      <w:r>
        <w:rPr>
          <w:rFonts w:hint="eastAsia" w:ascii="黑体" w:hAnsi="黑体" w:eastAsia="黑体" w:cs="黑体"/>
          <w:b w:val="0"/>
          <w:bCs w:val="0"/>
          <w:color w:val="auto"/>
        </w:rPr>
        <w:t>幼儿照护</w:t>
      </w:r>
      <w:r>
        <w:rPr>
          <w:rFonts w:hint="eastAsia" w:ascii="黑体" w:hAnsi="黑体" w:eastAsia="黑体" w:cs="黑体"/>
          <w:b w:val="0"/>
          <w:bCs w:val="0"/>
          <w:color w:val="auto"/>
          <w:lang w:eastAsia="zh-CN"/>
        </w:rPr>
        <w:t>、</w:t>
      </w:r>
      <w:r>
        <w:rPr>
          <w:rFonts w:hint="eastAsia" w:ascii="黑体" w:hAnsi="黑体" w:eastAsia="黑体" w:cs="黑体"/>
          <w:b w:val="0"/>
          <w:bCs w:val="0"/>
          <w:color w:val="auto"/>
          <w:lang w:val="en-US" w:eastAsia="zh-CN"/>
        </w:rPr>
        <w:t>产后恢复</w:t>
      </w:r>
      <w:r>
        <w:rPr>
          <w:rFonts w:hint="eastAsia" w:ascii="黑体" w:hAnsi="黑体" w:eastAsia="黑体" w:cs="黑体"/>
          <w:b w:val="0"/>
          <w:bCs w:val="0"/>
          <w:color w:val="auto"/>
        </w:rPr>
        <w:t>职业技能等级证书</w:t>
      </w:r>
      <w:r>
        <w:rPr>
          <w:rFonts w:hint="eastAsia" w:ascii="黑体" w:hAnsi="黑体" w:eastAsia="黑体" w:cs="黑体"/>
          <w:b w:val="0"/>
          <w:bCs w:val="0"/>
          <w:color w:val="auto"/>
          <w:lang w:val="en-US" w:eastAsia="zh-CN"/>
        </w:rPr>
        <w:t>考务技术及督导员</w:t>
      </w:r>
      <w:r>
        <w:rPr>
          <w:rFonts w:hint="eastAsia" w:ascii="黑体" w:hAnsi="黑体" w:eastAsia="黑体" w:cs="黑体"/>
          <w:b w:val="0"/>
          <w:bCs w:val="0"/>
          <w:color w:val="auto"/>
        </w:rPr>
        <w:t>考</w:t>
      </w:r>
      <w:r>
        <w:rPr>
          <w:rFonts w:hint="eastAsia" w:ascii="黑体" w:hAnsi="黑体" w:eastAsia="黑体" w:cs="黑体"/>
          <w:b w:val="0"/>
          <w:bCs w:val="0"/>
          <w:color w:val="auto"/>
          <w:lang w:val="en-US" w:eastAsia="zh-CN"/>
        </w:rPr>
        <w:t>评</w:t>
      </w:r>
    </w:p>
    <w:p>
      <w:pPr>
        <w:pStyle w:val="3"/>
        <w:keepNext w:val="0"/>
        <w:keepLines w:val="0"/>
        <w:pageBreakBefore w:val="0"/>
        <w:widowControl w:val="0"/>
        <w:kinsoku/>
        <w:wordWrap/>
        <w:overflowPunct/>
        <w:topLinePunct w:val="0"/>
        <w:autoSpaceDE w:val="0"/>
        <w:autoSpaceDN w:val="0"/>
        <w:bidi w:val="0"/>
        <w:adjustRightInd/>
        <w:snapToGrid/>
        <w:spacing w:before="0"/>
        <w:ind w:right="0" w:firstLine="3520" w:firstLineChars="1100"/>
        <w:jc w:val="both"/>
        <w:textAlignment w:val="auto"/>
        <w:rPr>
          <w:rFonts w:hint="eastAsia" w:ascii="黑体" w:hAnsi="黑体" w:eastAsia="黑体" w:cs="黑体"/>
          <w:b w:val="0"/>
          <w:bCs w:val="0"/>
          <w:color w:val="auto"/>
        </w:rPr>
      </w:pPr>
      <w:r>
        <w:rPr>
          <w:rFonts w:hint="eastAsia" w:ascii="黑体" w:hAnsi="黑体" w:eastAsia="黑体" w:cs="黑体"/>
          <w:b w:val="0"/>
          <w:bCs w:val="0"/>
          <w:color w:val="auto"/>
        </w:rPr>
        <w:t>工作承诺书</w:t>
      </w:r>
    </w:p>
    <w:p>
      <w:pPr>
        <w:pStyle w:val="4"/>
        <w:keepNext w:val="0"/>
        <w:keepLines w:val="0"/>
        <w:pageBreakBefore w:val="0"/>
        <w:widowControl w:val="0"/>
        <w:kinsoku/>
        <w:wordWrap/>
        <w:overflowPunct/>
        <w:topLinePunct w:val="0"/>
        <w:autoSpaceDE w:val="0"/>
        <w:autoSpaceDN w:val="0"/>
        <w:bidi w:val="0"/>
        <w:adjustRightInd/>
        <w:snapToGrid/>
        <w:spacing w:before="0"/>
        <w:ind w:left="0" w:right="0" w:firstLine="643" w:firstLineChars="200"/>
        <w:jc w:val="left"/>
        <w:textAlignment w:val="auto"/>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00" w:firstLineChars="200"/>
        <w:jc w:val="both"/>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职业技能等级证书试点院校，按照教育部《关于在院校实施“学历证书+若干职业技能等级证书”制度试点方案》（教职成〔2019〕6 号）等相关政策要求，我校自愿申报幼儿照护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职业技能等级证书考核站点，遵守幼儿照护</w:t>
      </w:r>
      <w:r>
        <w:rPr>
          <w:rFonts w:hint="eastAsia" w:cs="仿宋"/>
          <w:color w:val="auto"/>
          <w:spacing w:val="-10"/>
          <w:sz w:val="32"/>
          <w:szCs w:val="32"/>
          <w:lang w:eastAsia="zh-CN"/>
        </w:rPr>
        <w:t>、</w:t>
      </w:r>
      <w:r>
        <w:rPr>
          <w:rFonts w:hint="eastAsia" w:cs="仿宋"/>
          <w:color w:val="auto"/>
          <w:spacing w:val="-10"/>
          <w:sz w:val="32"/>
          <w:szCs w:val="32"/>
          <w:lang w:val="en-US" w:eastAsia="zh-CN"/>
        </w:rPr>
        <w:t>产后恢复</w:t>
      </w:r>
      <w:r>
        <w:rPr>
          <w:rFonts w:hint="eastAsia" w:ascii="仿宋" w:hAnsi="仿宋" w:eastAsia="仿宋" w:cs="仿宋"/>
          <w:color w:val="auto"/>
          <w:spacing w:val="-10"/>
          <w:sz w:val="32"/>
          <w:szCs w:val="32"/>
        </w:rPr>
        <w:t>职业技能等级证书考务管理制度，严格按照已颁布的考核站点申报要求进行考评团队组建及考核场地和设施建设，并承诺申报材料真实有效。</w:t>
      </w:r>
    </w:p>
    <w:p>
      <w:pPr>
        <w:pStyle w:val="4"/>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textAlignment w:val="auto"/>
        <w:rPr>
          <w:rFonts w:hint="eastAsia" w:ascii="仿宋" w:hAnsi="仿宋" w:eastAsia="仿宋" w:cs="仿宋"/>
          <w:color w:val="auto"/>
          <w:sz w:val="32"/>
          <w:szCs w:val="32"/>
        </w:rPr>
      </w:pPr>
    </w:p>
    <w:p>
      <w:pPr>
        <w:pStyle w:val="4"/>
        <w:keepNext w:val="0"/>
        <w:keepLines w:val="0"/>
        <w:pageBreakBefore w:val="0"/>
        <w:widowControl w:val="0"/>
        <w:kinsoku/>
        <w:wordWrap/>
        <w:overflowPunct/>
        <w:topLinePunct w:val="0"/>
        <w:autoSpaceDE w:val="0"/>
        <w:autoSpaceDN w:val="0"/>
        <w:bidi w:val="0"/>
        <w:adjustRightInd/>
        <w:snapToGrid/>
        <w:spacing w:before="0"/>
        <w:ind w:left="0" w:right="0" w:firstLine="640" w:firstLineChars="200"/>
        <w:textAlignment w:val="auto"/>
        <w:rPr>
          <w:rFonts w:hint="eastAsia" w:ascii="仿宋" w:hAnsi="仿宋" w:eastAsia="仿宋" w:cs="仿宋"/>
          <w:color w:val="auto"/>
          <w:sz w:val="32"/>
          <w:szCs w:val="32"/>
        </w:rPr>
      </w:pPr>
    </w:p>
    <w:p>
      <w:pPr>
        <w:pStyle w:val="4"/>
        <w:keepNext w:val="0"/>
        <w:keepLines w:val="0"/>
        <w:pageBreakBefore w:val="0"/>
        <w:widowControl w:val="0"/>
        <w:tabs>
          <w:tab w:val="left" w:pos="8103"/>
          <w:tab w:val="left" w:pos="8823"/>
        </w:tabs>
        <w:kinsoku/>
        <w:wordWrap/>
        <w:overflowPunct/>
        <w:topLinePunct w:val="0"/>
        <w:autoSpaceDE w:val="0"/>
        <w:autoSpaceDN w:val="0"/>
        <w:bidi w:val="0"/>
        <w:adjustRightInd/>
        <w:snapToGrid/>
        <w:spacing w:line="423" w:lineRule="auto"/>
        <w:ind w:left="7398" w:right="0" w:hanging="675"/>
        <w:jc w:val="right"/>
        <w:textAlignment w:val="auto"/>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w:t>
      </w:r>
    </w:p>
    <w:p>
      <w:pPr>
        <w:pStyle w:val="4"/>
        <w:keepNext w:val="0"/>
        <w:keepLines w:val="0"/>
        <w:pageBreakBefore w:val="0"/>
        <w:widowControl w:val="0"/>
        <w:tabs>
          <w:tab w:val="left" w:pos="8103"/>
          <w:tab w:val="left" w:pos="8823"/>
        </w:tabs>
        <w:kinsoku/>
        <w:wordWrap/>
        <w:overflowPunct/>
        <w:topLinePunct w:val="0"/>
        <w:autoSpaceDE w:val="0"/>
        <w:autoSpaceDN w:val="0"/>
        <w:bidi w:val="0"/>
        <w:adjustRightInd/>
        <w:snapToGrid/>
        <w:spacing w:line="423" w:lineRule="auto"/>
        <w:ind w:left="7398" w:right="0" w:hanging="675"/>
        <w:jc w:val="right"/>
        <w:textAlignment w:val="auto"/>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1417" w:footer="14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E5BB08-0DBB-4E09-B9FD-0AE3690FFC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36C9E22-F129-4C7D-A39D-28C7B1C512D1}"/>
  </w:font>
  <w:font w:name="方正小标宋简体">
    <w:panose1 w:val="02000000000000000000"/>
    <w:charset w:val="86"/>
    <w:family w:val="auto"/>
    <w:pitch w:val="default"/>
    <w:sig w:usb0="00000001" w:usb1="08000000" w:usb2="00000000" w:usb3="00000000" w:csb0="00040000" w:csb1="00000000"/>
    <w:embedRegular r:id="rId3" w:fontKey="{D44B848B-2EC2-4552-94C6-657892DA1E12}"/>
  </w:font>
  <w:font w:name="楷体">
    <w:panose1 w:val="02010609060101010101"/>
    <w:charset w:val="86"/>
    <w:family w:val="auto"/>
    <w:pitch w:val="default"/>
    <w:sig w:usb0="800002BF" w:usb1="38CF7CFA" w:usb2="00000016" w:usb3="00000000" w:csb0="00040001" w:csb1="00000000"/>
    <w:embedRegular r:id="rId4" w:fontKey="{98E232FD-D1D0-45A2-9D54-1B3E266C0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3761740</wp:posOffset>
              </wp:positionH>
              <wp:positionV relativeFrom="page">
                <wp:posOffset>9784715</wp:posOffset>
              </wp:positionV>
              <wp:extent cx="107950" cy="1397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pt;width:8.5pt;mso-position-horizontal-relative:page;mso-position-vertical-relative:page;z-index:-251657216;mso-width-relative:page;mso-height-relative:page;" filled="f" stroked="f" coordsize="21600,21600" o:gfxdata="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74ah2QAAAA0BAAAPAAAAAAAAAAEAIAAAACIAAABkcnMvZG93bnJldi54bWxQSwEC&#10;FAAUAAAACACHTuJAG5G7s7oBAABxAwAADgAAAAAAAAABACAAAAAoAQAAZHJzL2Uyb0RvYy54bWxQ&#10;SwUGAAAAAAYABgBZAQAAVAU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6192;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1F3E1"/>
    <w:multiLevelType w:val="singleLevel"/>
    <w:tmpl w:val="8911F3E1"/>
    <w:lvl w:ilvl="0" w:tentative="0">
      <w:start w:val="1"/>
      <w:numFmt w:val="chineseCounting"/>
      <w:suff w:val="nothing"/>
      <w:lvlText w:val="（%1）"/>
      <w:lvlJc w:val="left"/>
      <w:pPr>
        <w:ind w:left="0" w:firstLine="420"/>
      </w:pPr>
      <w:rPr>
        <w:rFonts w:hint="eastAsia"/>
      </w:rPr>
    </w:lvl>
  </w:abstractNum>
  <w:abstractNum w:abstractNumId="1">
    <w:nsid w:val="16F7373B"/>
    <w:multiLevelType w:val="singleLevel"/>
    <w:tmpl w:val="16F7373B"/>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2B77A4"/>
    <w:rsid w:val="0045608D"/>
    <w:rsid w:val="005D4603"/>
    <w:rsid w:val="009C23EA"/>
    <w:rsid w:val="00C67F96"/>
    <w:rsid w:val="01064E95"/>
    <w:rsid w:val="010B7E8D"/>
    <w:rsid w:val="01683E53"/>
    <w:rsid w:val="01693391"/>
    <w:rsid w:val="017F3FB5"/>
    <w:rsid w:val="026143C3"/>
    <w:rsid w:val="027B4C65"/>
    <w:rsid w:val="02AB1C62"/>
    <w:rsid w:val="02F53218"/>
    <w:rsid w:val="0322188F"/>
    <w:rsid w:val="0354664F"/>
    <w:rsid w:val="03E259E7"/>
    <w:rsid w:val="03ED6434"/>
    <w:rsid w:val="0409337B"/>
    <w:rsid w:val="040E6482"/>
    <w:rsid w:val="04293CB7"/>
    <w:rsid w:val="046C750A"/>
    <w:rsid w:val="04780822"/>
    <w:rsid w:val="04FC263C"/>
    <w:rsid w:val="05222877"/>
    <w:rsid w:val="05277034"/>
    <w:rsid w:val="054704CA"/>
    <w:rsid w:val="05F572D1"/>
    <w:rsid w:val="06272299"/>
    <w:rsid w:val="065D35AE"/>
    <w:rsid w:val="06935F65"/>
    <w:rsid w:val="069E4518"/>
    <w:rsid w:val="06FA1CCB"/>
    <w:rsid w:val="070B0233"/>
    <w:rsid w:val="070D3CC1"/>
    <w:rsid w:val="075C62E8"/>
    <w:rsid w:val="07683873"/>
    <w:rsid w:val="07CD32E2"/>
    <w:rsid w:val="07D22C5B"/>
    <w:rsid w:val="07E37AF2"/>
    <w:rsid w:val="0849203C"/>
    <w:rsid w:val="088C5762"/>
    <w:rsid w:val="08B060F7"/>
    <w:rsid w:val="08D505F4"/>
    <w:rsid w:val="09061CDB"/>
    <w:rsid w:val="090E7F6B"/>
    <w:rsid w:val="091C56F6"/>
    <w:rsid w:val="0946657C"/>
    <w:rsid w:val="09483348"/>
    <w:rsid w:val="09B53A1D"/>
    <w:rsid w:val="09CE5108"/>
    <w:rsid w:val="09D10CF5"/>
    <w:rsid w:val="09E638BB"/>
    <w:rsid w:val="09FC7E10"/>
    <w:rsid w:val="0A0A1ED1"/>
    <w:rsid w:val="0A1A5F32"/>
    <w:rsid w:val="0A3852EA"/>
    <w:rsid w:val="0A3953FA"/>
    <w:rsid w:val="0A9B436A"/>
    <w:rsid w:val="0ABE4C9F"/>
    <w:rsid w:val="0AD025A1"/>
    <w:rsid w:val="0B2F6116"/>
    <w:rsid w:val="0B363CB9"/>
    <w:rsid w:val="0BB67F6C"/>
    <w:rsid w:val="0BE65DF4"/>
    <w:rsid w:val="0BF24799"/>
    <w:rsid w:val="0C5D60B6"/>
    <w:rsid w:val="0C614108"/>
    <w:rsid w:val="0C724CC4"/>
    <w:rsid w:val="0C7B29E0"/>
    <w:rsid w:val="0CC86D0F"/>
    <w:rsid w:val="0CCA3020"/>
    <w:rsid w:val="0CCE385F"/>
    <w:rsid w:val="0CE340E1"/>
    <w:rsid w:val="0D4537B5"/>
    <w:rsid w:val="0D906017"/>
    <w:rsid w:val="0DB63C87"/>
    <w:rsid w:val="0E3B66D6"/>
    <w:rsid w:val="0E4F1A2E"/>
    <w:rsid w:val="0EA415A6"/>
    <w:rsid w:val="0EAB40A8"/>
    <w:rsid w:val="0EAE7EF9"/>
    <w:rsid w:val="0EB26F8D"/>
    <w:rsid w:val="0EEF603F"/>
    <w:rsid w:val="0F542271"/>
    <w:rsid w:val="0F6219A3"/>
    <w:rsid w:val="0F7C689F"/>
    <w:rsid w:val="0F8D5FDF"/>
    <w:rsid w:val="0FAB0E6E"/>
    <w:rsid w:val="103F3747"/>
    <w:rsid w:val="1066230A"/>
    <w:rsid w:val="10684373"/>
    <w:rsid w:val="10721863"/>
    <w:rsid w:val="110E3E23"/>
    <w:rsid w:val="11441225"/>
    <w:rsid w:val="1156458D"/>
    <w:rsid w:val="11C31FB0"/>
    <w:rsid w:val="11E02BC2"/>
    <w:rsid w:val="12376640"/>
    <w:rsid w:val="123C5632"/>
    <w:rsid w:val="12741CFD"/>
    <w:rsid w:val="12E64736"/>
    <w:rsid w:val="12F73F4C"/>
    <w:rsid w:val="13225F35"/>
    <w:rsid w:val="1350425D"/>
    <w:rsid w:val="13861A2F"/>
    <w:rsid w:val="13AA1853"/>
    <w:rsid w:val="13BF6A69"/>
    <w:rsid w:val="13C81391"/>
    <w:rsid w:val="14096B23"/>
    <w:rsid w:val="1441247D"/>
    <w:rsid w:val="144C512A"/>
    <w:rsid w:val="14977C8B"/>
    <w:rsid w:val="14C709EA"/>
    <w:rsid w:val="14D47C1D"/>
    <w:rsid w:val="14F21366"/>
    <w:rsid w:val="14FA3D24"/>
    <w:rsid w:val="14FB046F"/>
    <w:rsid w:val="154120F7"/>
    <w:rsid w:val="154E5336"/>
    <w:rsid w:val="157E5A2C"/>
    <w:rsid w:val="158F72D1"/>
    <w:rsid w:val="15C9696F"/>
    <w:rsid w:val="15D1403F"/>
    <w:rsid w:val="15DF2E1B"/>
    <w:rsid w:val="16103ED1"/>
    <w:rsid w:val="16257519"/>
    <w:rsid w:val="166E0EC0"/>
    <w:rsid w:val="16BB49A7"/>
    <w:rsid w:val="16BF4B0C"/>
    <w:rsid w:val="16D14D94"/>
    <w:rsid w:val="16ED0036"/>
    <w:rsid w:val="17005391"/>
    <w:rsid w:val="17575DF8"/>
    <w:rsid w:val="176302F9"/>
    <w:rsid w:val="1787261C"/>
    <w:rsid w:val="17992ECE"/>
    <w:rsid w:val="17C96A8B"/>
    <w:rsid w:val="18176719"/>
    <w:rsid w:val="181938AD"/>
    <w:rsid w:val="183C033D"/>
    <w:rsid w:val="186220A9"/>
    <w:rsid w:val="187F1162"/>
    <w:rsid w:val="18DB64E7"/>
    <w:rsid w:val="190839A1"/>
    <w:rsid w:val="19322678"/>
    <w:rsid w:val="197902A7"/>
    <w:rsid w:val="197A08C5"/>
    <w:rsid w:val="19954C8D"/>
    <w:rsid w:val="199B506C"/>
    <w:rsid w:val="19A763CF"/>
    <w:rsid w:val="19E07411"/>
    <w:rsid w:val="1A842E1F"/>
    <w:rsid w:val="1A9F249A"/>
    <w:rsid w:val="1ABC7965"/>
    <w:rsid w:val="1AC20D0D"/>
    <w:rsid w:val="1B161D39"/>
    <w:rsid w:val="1B853CE4"/>
    <w:rsid w:val="1BAD7A4F"/>
    <w:rsid w:val="1BCC0B62"/>
    <w:rsid w:val="1C627E98"/>
    <w:rsid w:val="1C673958"/>
    <w:rsid w:val="1C8925AF"/>
    <w:rsid w:val="1C8A3577"/>
    <w:rsid w:val="1C911F1C"/>
    <w:rsid w:val="1CA63A3C"/>
    <w:rsid w:val="1CB6711D"/>
    <w:rsid w:val="1CF021AD"/>
    <w:rsid w:val="1CFB57FB"/>
    <w:rsid w:val="1D4E7E55"/>
    <w:rsid w:val="1D5A27A0"/>
    <w:rsid w:val="1DAF3F83"/>
    <w:rsid w:val="1DC768EA"/>
    <w:rsid w:val="1DD838BA"/>
    <w:rsid w:val="1E336D52"/>
    <w:rsid w:val="1E3E0725"/>
    <w:rsid w:val="1E3E5197"/>
    <w:rsid w:val="1E4027B0"/>
    <w:rsid w:val="1E6A2F64"/>
    <w:rsid w:val="1E722D99"/>
    <w:rsid w:val="1EFA1543"/>
    <w:rsid w:val="1F0D70AB"/>
    <w:rsid w:val="1F7E2174"/>
    <w:rsid w:val="1FC70313"/>
    <w:rsid w:val="200C2E1A"/>
    <w:rsid w:val="20241A1D"/>
    <w:rsid w:val="2026164D"/>
    <w:rsid w:val="20831BA0"/>
    <w:rsid w:val="20901FB3"/>
    <w:rsid w:val="20A272E3"/>
    <w:rsid w:val="20AF0C2B"/>
    <w:rsid w:val="20CB0A2D"/>
    <w:rsid w:val="20CD3467"/>
    <w:rsid w:val="20F12E19"/>
    <w:rsid w:val="210E1018"/>
    <w:rsid w:val="212669B2"/>
    <w:rsid w:val="212C1EE4"/>
    <w:rsid w:val="217C2A80"/>
    <w:rsid w:val="21A30B8D"/>
    <w:rsid w:val="21B31120"/>
    <w:rsid w:val="226513C9"/>
    <w:rsid w:val="228072DA"/>
    <w:rsid w:val="22AA2043"/>
    <w:rsid w:val="23797599"/>
    <w:rsid w:val="239919FF"/>
    <w:rsid w:val="23A10B26"/>
    <w:rsid w:val="23A20BF0"/>
    <w:rsid w:val="23AF6FAC"/>
    <w:rsid w:val="23BD1D7E"/>
    <w:rsid w:val="24265CE8"/>
    <w:rsid w:val="2488244A"/>
    <w:rsid w:val="254855F2"/>
    <w:rsid w:val="254F187B"/>
    <w:rsid w:val="25661D8C"/>
    <w:rsid w:val="258A609E"/>
    <w:rsid w:val="258E35C2"/>
    <w:rsid w:val="259E6129"/>
    <w:rsid w:val="25C46DB6"/>
    <w:rsid w:val="26155D5F"/>
    <w:rsid w:val="26596F29"/>
    <w:rsid w:val="267C7B2E"/>
    <w:rsid w:val="268362C1"/>
    <w:rsid w:val="26A377BF"/>
    <w:rsid w:val="27475FD7"/>
    <w:rsid w:val="2749750B"/>
    <w:rsid w:val="27B7008A"/>
    <w:rsid w:val="27D767A4"/>
    <w:rsid w:val="27F13DD1"/>
    <w:rsid w:val="28141527"/>
    <w:rsid w:val="28247731"/>
    <w:rsid w:val="28253EB6"/>
    <w:rsid w:val="284E04FC"/>
    <w:rsid w:val="2917066C"/>
    <w:rsid w:val="29252BBC"/>
    <w:rsid w:val="29510970"/>
    <w:rsid w:val="29667F90"/>
    <w:rsid w:val="29921361"/>
    <w:rsid w:val="29CA4207"/>
    <w:rsid w:val="29E86A28"/>
    <w:rsid w:val="2A053956"/>
    <w:rsid w:val="2A065141"/>
    <w:rsid w:val="2A557F75"/>
    <w:rsid w:val="2A5C57A7"/>
    <w:rsid w:val="2A656E09"/>
    <w:rsid w:val="2A6A6D67"/>
    <w:rsid w:val="2A8E2D29"/>
    <w:rsid w:val="2ADF4FA2"/>
    <w:rsid w:val="2AE754B5"/>
    <w:rsid w:val="2B3B0795"/>
    <w:rsid w:val="2B563FA5"/>
    <w:rsid w:val="2B612299"/>
    <w:rsid w:val="2B8330C6"/>
    <w:rsid w:val="2BAE19CF"/>
    <w:rsid w:val="2BE45A54"/>
    <w:rsid w:val="2C2C2F57"/>
    <w:rsid w:val="2C387B4E"/>
    <w:rsid w:val="2C85297C"/>
    <w:rsid w:val="2C970D19"/>
    <w:rsid w:val="2CA90A4C"/>
    <w:rsid w:val="2CAA1544"/>
    <w:rsid w:val="2CBB37C6"/>
    <w:rsid w:val="2CC239BD"/>
    <w:rsid w:val="2DA37249"/>
    <w:rsid w:val="2DA7743A"/>
    <w:rsid w:val="2DBD2E5B"/>
    <w:rsid w:val="2DE57862"/>
    <w:rsid w:val="2DEE4968"/>
    <w:rsid w:val="2E344345"/>
    <w:rsid w:val="2E6E2226"/>
    <w:rsid w:val="2E7E1EC4"/>
    <w:rsid w:val="2E8A2FBB"/>
    <w:rsid w:val="2E953036"/>
    <w:rsid w:val="2EF43018"/>
    <w:rsid w:val="2EF73CF0"/>
    <w:rsid w:val="2F617D88"/>
    <w:rsid w:val="2F653168"/>
    <w:rsid w:val="2F6C023B"/>
    <w:rsid w:val="2F6D6CA4"/>
    <w:rsid w:val="305C122B"/>
    <w:rsid w:val="31127878"/>
    <w:rsid w:val="312469B1"/>
    <w:rsid w:val="31FA55CA"/>
    <w:rsid w:val="321742DA"/>
    <w:rsid w:val="321A3C56"/>
    <w:rsid w:val="32515D22"/>
    <w:rsid w:val="32A26557"/>
    <w:rsid w:val="32AD727A"/>
    <w:rsid w:val="32C72A62"/>
    <w:rsid w:val="32EC2A98"/>
    <w:rsid w:val="32F109F6"/>
    <w:rsid w:val="33284949"/>
    <w:rsid w:val="334153F9"/>
    <w:rsid w:val="334A4B46"/>
    <w:rsid w:val="33A854CE"/>
    <w:rsid w:val="33F20F2A"/>
    <w:rsid w:val="34005B0E"/>
    <w:rsid w:val="34346E4D"/>
    <w:rsid w:val="344064BC"/>
    <w:rsid w:val="34A10A1F"/>
    <w:rsid w:val="34C533D0"/>
    <w:rsid w:val="35013CB4"/>
    <w:rsid w:val="35283F8C"/>
    <w:rsid w:val="35300C41"/>
    <w:rsid w:val="354346E4"/>
    <w:rsid w:val="35553A8E"/>
    <w:rsid w:val="35600EBB"/>
    <w:rsid w:val="3587393F"/>
    <w:rsid w:val="35E144E3"/>
    <w:rsid w:val="35FB0F2E"/>
    <w:rsid w:val="3608357B"/>
    <w:rsid w:val="36462E68"/>
    <w:rsid w:val="364C071A"/>
    <w:rsid w:val="367139E5"/>
    <w:rsid w:val="368816D2"/>
    <w:rsid w:val="36B81FB7"/>
    <w:rsid w:val="36F92C5F"/>
    <w:rsid w:val="3781193B"/>
    <w:rsid w:val="37853C9A"/>
    <w:rsid w:val="37B1530B"/>
    <w:rsid w:val="383A2326"/>
    <w:rsid w:val="385F41AE"/>
    <w:rsid w:val="386021DC"/>
    <w:rsid w:val="38B955D1"/>
    <w:rsid w:val="38C51B29"/>
    <w:rsid w:val="38E027B7"/>
    <w:rsid w:val="38FD1F03"/>
    <w:rsid w:val="39045C25"/>
    <w:rsid w:val="390A60E2"/>
    <w:rsid w:val="39151AA1"/>
    <w:rsid w:val="392867C3"/>
    <w:rsid w:val="396D24A5"/>
    <w:rsid w:val="39987CF6"/>
    <w:rsid w:val="3A277389"/>
    <w:rsid w:val="3A475C15"/>
    <w:rsid w:val="3A5D4727"/>
    <w:rsid w:val="3A6F5155"/>
    <w:rsid w:val="3A8D682B"/>
    <w:rsid w:val="3A9852EF"/>
    <w:rsid w:val="3ABC7B9C"/>
    <w:rsid w:val="3AE315CD"/>
    <w:rsid w:val="3B4A5AA6"/>
    <w:rsid w:val="3BA02B65"/>
    <w:rsid w:val="3BA23236"/>
    <w:rsid w:val="3BAA261F"/>
    <w:rsid w:val="3BB15227"/>
    <w:rsid w:val="3BC77682"/>
    <w:rsid w:val="3BF47BF7"/>
    <w:rsid w:val="3C14399A"/>
    <w:rsid w:val="3C2B322B"/>
    <w:rsid w:val="3C3A769C"/>
    <w:rsid w:val="3C605199"/>
    <w:rsid w:val="3C806928"/>
    <w:rsid w:val="3C820745"/>
    <w:rsid w:val="3D0E158C"/>
    <w:rsid w:val="3D2959BD"/>
    <w:rsid w:val="3D31661F"/>
    <w:rsid w:val="3D344605"/>
    <w:rsid w:val="3D5523AC"/>
    <w:rsid w:val="3D566086"/>
    <w:rsid w:val="3D604A70"/>
    <w:rsid w:val="3DB54DD9"/>
    <w:rsid w:val="3DF17F9F"/>
    <w:rsid w:val="3E0B0AB0"/>
    <w:rsid w:val="3E13107E"/>
    <w:rsid w:val="3E1C4A3E"/>
    <w:rsid w:val="3E276399"/>
    <w:rsid w:val="3E405AEC"/>
    <w:rsid w:val="3E8310FD"/>
    <w:rsid w:val="3E9F7D24"/>
    <w:rsid w:val="3EDB13A4"/>
    <w:rsid w:val="3F260B8C"/>
    <w:rsid w:val="3F277CDA"/>
    <w:rsid w:val="3F431CF8"/>
    <w:rsid w:val="3F4E7910"/>
    <w:rsid w:val="3FC731D2"/>
    <w:rsid w:val="3FCE1540"/>
    <w:rsid w:val="4004626D"/>
    <w:rsid w:val="401640A3"/>
    <w:rsid w:val="404B3C60"/>
    <w:rsid w:val="40672A4B"/>
    <w:rsid w:val="40710D64"/>
    <w:rsid w:val="40C477AB"/>
    <w:rsid w:val="40DB4318"/>
    <w:rsid w:val="40F9437C"/>
    <w:rsid w:val="4122172A"/>
    <w:rsid w:val="414C5028"/>
    <w:rsid w:val="41580CED"/>
    <w:rsid w:val="4184187E"/>
    <w:rsid w:val="41894C7C"/>
    <w:rsid w:val="41A7652A"/>
    <w:rsid w:val="41AD4936"/>
    <w:rsid w:val="41C71300"/>
    <w:rsid w:val="41DA0060"/>
    <w:rsid w:val="421D31FE"/>
    <w:rsid w:val="422E2054"/>
    <w:rsid w:val="42302C97"/>
    <w:rsid w:val="42CD6776"/>
    <w:rsid w:val="43D07ED9"/>
    <w:rsid w:val="43D61E7A"/>
    <w:rsid w:val="44B952FD"/>
    <w:rsid w:val="44C720C8"/>
    <w:rsid w:val="44D73047"/>
    <w:rsid w:val="450F4585"/>
    <w:rsid w:val="457C4AF8"/>
    <w:rsid w:val="45CA5863"/>
    <w:rsid w:val="45E174FD"/>
    <w:rsid w:val="45E27A2C"/>
    <w:rsid w:val="45FB3C6E"/>
    <w:rsid w:val="464F5D68"/>
    <w:rsid w:val="46554D89"/>
    <w:rsid w:val="471843AC"/>
    <w:rsid w:val="471A3EAC"/>
    <w:rsid w:val="474B198E"/>
    <w:rsid w:val="478B47FC"/>
    <w:rsid w:val="47A37D1B"/>
    <w:rsid w:val="47B25AC9"/>
    <w:rsid w:val="47EC7D13"/>
    <w:rsid w:val="480261E6"/>
    <w:rsid w:val="48256D81"/>
    <w:rsid w:val="48513281"/>
    <w:rsid w:val="48701B24"/>
    <w:rsid w:val="489D3A24"/>
    <w:rsid w:val="48A64365"/>
    <w:rsid w:val="48C661DB"/>
    <w:rsid w:val="48F10839"/>
    <w:rsid w:val="491C63D6"/>
    <w:rsid w:val="491F5EC6"/>
    <w:rsid w:val="492D2391"/>
    <w:rsid w:val="49482EF2"/>
    <w:rsid w:val="494D3B15"/>
    <w:rsid w:val="497208B6"/>
    <w:rsid w:val="499A0B6A"/>
    <w:rsid w:val="49B35218"/>
    <w:rsid w:val="4A4C7982"/>
    <w:rsid w:val="4A8A484E"/>
    <w:rsid w:val="4AB91B21"/>
    <w:rsid w:val="4ACF3CFD"/>
    <w:rsid w:val="4B013FA6"/>
    <w:rsid w:val="4B074E64"/>
    <w:rsid w:val="4B6978CC"/>
    <w:rsid w:val="4B791CC0"/>
    <w:rsid w:val="4BA168E4"/>
    <w:rsid w:val="4BCF55ED"/>
    <w:rsid w:val="4BE20321"/>
    <w:rsid w:val="4BFE2E2E"/>
    <w:rsid w:val="4C1555AA"/>
    <w:rsid w:val="4C212FB5"/>
    <w:rsid w:val="4C2A5455"/>
    <w:rsid w:val="4C622CD8"/>
    <w:rsid w:val="4C6562E6"/>
    <w:rsid w:val="4CD271D1"/>
    <w:rsid w:val="4CEC60BF"/>
    <w:rsid w:val="4D296C8B"/>
    <w:rsid w:val="4D4E6D7A"/>
    <w:rsid w:val="4D5F40AF"/>
    <w:rsid w:val="4D6F1C88"/>
    <w:rsid w:val="4D7415B5"/>
    <w:rsid w:val="4D763383"/>
    <w:rsid w:val="4DA61346"/>
    <w:rsid w:val="4DBB7B21"/>
    <w:rsid w:val="4DCB16DF"/>
    <w:rsid w:val="4E1E0DCE"/>
    <w:rsid w:val="4E397206"/>
    <w:rsid w:val="4F411016"/>
    <w:rsid w:val="4F6B7444"/>
    <w:rsid w:val="4F7C3423"/>
    <w:rsid w:val="4F8C3B89"/>
    <w:rsid w:val="4FB05ACA"/>
    <w:rsid w:val="4FBE28EB"/>
    <w:rsid w:val="4FF729E7"/>
    <w:rsid w:val="507E1724"/>
    <w:rsid w:val="508A00C9"/>
    <w:rsid w:val="50981CBB"/>
    <w:rsid w:val="511A7F98"/>
    <w:rsid w:val="513034BD"/>
    <w:rsid w:val="515B6DB3"/>
    <w:rsid w:val="51962A9D"/>
    <w:rsid w:val="51C11861"/>
    <w:rsid w:val="51C21FD0"/>
    <w:rsid w:val="52214A5D"/>
    <w:rsid w:val="52224E2F"/>
    <w:rsid w:val="52232001"/>
    <w:rsid w:val="523104CA"/>
    <w:rsid w:val="52621F08"/>
    <w:rsid w:val="52957943"/>
    <w:rsid w:val="52AA0A4C"/>
    <w:rsid w:val="52AF617E"/>
    <w:rsid w:val="52E010B1"/>
    <w:rsid w:val="52FD57EC"/>
    <w:rsid w:val="53127809"/>
    <w:rsid w:val="532549C1"/>
    <w:rsid w:val="534D6E91"/>
    <w:rsid w:val="53694199"/>
    <w:rsid w:val="538C3E97"/>
    <w:rsid w:val="54086C3D"/>
    <w:rsid w:val="541A7584"/>
    <w:rsid w:val="54486247"/>
    <w:rsid w:val="544F1086"/>
    <w:rsid w:val="5471184B"/>
    <w:rsid w:val="547955C5"/>
    <w:rsid w:val="54E444B6"/>
    <w:rsid w:val="55214CC8"/>
    <w:rsid w:val="552A112B"/>
    <w:rsid w:val="55510EAB"/>
    <w:rsid w:val="55A34CA2"/>
    <w:rsid w:val="55CD41E1"/>
    <w:rsid w:val="55DD2888"/>
    <w:rsid w:val="566B31D1"/>
    <w:rsid w:val="56DB057E"/>
    <w:rsid w:val="572F2E4E"/>
    <w:rsid w:val="57413A06"/>
    <w:rsid w:val="5769386A"/>
    <w:rsid w:val="57701525"/>
    <w:rsid w:val="57904B13"/>
    <w:rsid w:val="57E43E7E"/>
    <w:rsid w:val="580469B3"/>
    <w:rsid w:val="58920462"/>
    <w:rsid w:val="58A93C5C"/>
    <w:rsid w:val="590402E9"/>
    <w:rsid w:val="590C513E"/>
    <w:rsid w:val="59310BCB"/>
    <w:rsid w:val="596925FA"/>
    <w:rsid w:val="59A85A64"/>
    <w:rsid w:val="59AF01A6"/>
    <w:rsid w:val="5A1B5C55"/>
    <w:rsid w:val="5A1D1FAE"/>
    <w:rsid w:val="5A583BD5"/>
    <w:rsid w:val="5AB312F2"/>
    <w:rsid w:val="5B476EE0"/>
    <w:rsid w:val="5B6A4C75"/>
    <w:rsid w:val="5BE22606"/>
    <w:rsid w:val="5BF05720"/>
    <w:rsid w:val="5C4001D5"/>
    <w:rsid w:val="5C5E3F2D"/>
    <w:rsid w:val="5C6A7000"/>
    <w:rsid w:val="5CF25E14"/>
    <w:rsid w:val="5D342D65"/>
    <w:rsid w:val="5D3938D0"/>
    <w:rsid w:val="5D8365CC"/>
    <w:rsid w:val="5DA44981"/>
    <w:rsid w:val="5DAE29DE"/>
    <w:rsid w:val="5DC6348C"/>
    <w:rsid w:val="5DCB6AF9"/>
    <w:rsid w:val="5DE45080"/>
    <w:rsid w:val="5DEA09A4"/>
    <w:rsid w:val="5DFB01C9"/>
    <w:rsid w:val="5E1E58BF"/>
    <w:rsid w:val="5E323147"/>
    <w:rsid w:val="5E3B25F5"/>
    <w:rsid w:val="5E5F53C1"/>
    <w:rsid w:val="5EBF134F"/>
    <w:rsid w:val="5EE11A5C"/>
    <w:rsid w:val="5EE12783"/>
    <w:rsid w:val="5EFF0BE1"/>
    <w:rsid w:val="5EFF7A61"/>
    <w:rsid w:val="5F103E8F"/>
    <w:rsid w:val="5FDB2BD6"/>
    <w:rsid w:val="5FF7318B"/>
    <w:rsid w:val="60093DAC"/>
    <w:rsid w:val="60CE1419"/>
    <w:rsid w:val="60D43E24"/>
    <w:rsid w:val="60E227EF"/>
    <w:rsid w:val="611E5432"/>
    <w:rsid w:val="613E1E1E"/>
    <w:rsid w:val="6184468A"/>
    <w:rsid w:val="61F7493C"/>
    <w:rsid w:val="6212240B"/>
    <w:rsid w:val="62447233"/>
    <w:rsid w:val="62FA7330"/>
    <w:rsid w:val="630E12F2"/>
    <w:rsid w:val="633D721D"/>
    <w:rsid w:val="635014B9"/>
    <w:rsid w:val="6355171D"/>
    <w:rsid w:val="63724255"/>
    <w:rsid w:val="63B6A5F0"/>
    <w:rsid w:val="63C464CF"/>
    <w:rsid w:val="63D818F9"/>
    <w:rsid w:val="63F20A54"/>
    <w:rsid w:val="63F2705B"/>
    <w:rsid w:val="64357043"/>
    <w:rsid w:val="64396B78"/>
    <w:rsid w:val="649310DA"/>
    <w:rsid w:val="65107685"/>
    <w:rsid w:val="651A1C6C"/>
    <w:rsid w:val="65280C5D"/>
    <w:rsid w:val="6583069B"/>
    <w:rsid w:val="65AF72B2"/>
    <w:rsid w:val="65B17E6C"/>
    <w:rsid w:val="65DA735D"/>
    <w:rsid w:val="65E94A4E"/>
    <w:rsid w:val="66067D9A"/>
    <w:rsid w:val="660E0276"/>
    <w:rsid w:val="660E3EC0"/>
    <w:rsid w:val="66495ED8"/>
    <w:rsid w:val="668054A0"/>
    <w:rsid w:val="66C7577B"/>
    <w:rsid w:val="66F02F6F"/>
    <w:rsid w:val="66FD79BB"/>
    <w:rsid w:val="672373ED"/>
    <w:rsid w:val="674E2852"/>
    <w:rsid w:val="676D1B39"/>
    <w:rsid w:val="679B5541"/>
    <w:rsid w:val="67AC0F48"/>
    <w:rsid w:val="67F40034"/>
    <w:rsid w:val="685A3789"/>
    <w:rsid w:val="68777F95"/>
    <w:rsid w:val="68914F00"/>
    <w:rsid w:val="689C5305"/>
    <w:rsid w:val="68A564F7"/>
    <w:rsid w:val="68B526C8"/>
    <w:rsid w:val="68B66E2E"/>
    <w:rsid w:val="68BB2F10"/>
    <w:rsid w:val="68BE2BAE"/>
    <w:rsid w:val="693D5E8F"/>
    <w:rsid w:val="69D2030C"/>
    <w:rsid w:val="69E22B1D"/>
    <w:rsid w:val="69EA7D90"/>
    <w:rsid w:val="6A3B7E67"/>
    <w:rsid w:val="6ABA7B0E"/>
    <w:rsid w:val="6B8F1F75"/>
    <w:rsid w:val="6C3623DF"/>
    <w:rsid w:val="6C5F31B3"/>
    <w:rsid w:val="6C833DC4"/>
    <w:rsid w:val="6C87555A"/>
    <w:rsid w:val="6C9274C4"/>
    <w:rsid w:val="6CA66E70"/>
    <w:rsid w:val="6CB714AD"/>
    <w:rsid w:val="6D1D7FB2"/>
    <w:rsid w:val="6D35307E"/>
    <w:rsid w:val="6D38414A"/>
    <w:rsid w:val="6D455D5A"/>
    <w:rsid w:val="6D5E2269"/>
    <w:rsid w:val="6D7E5574"/>
    <w:rsid w:val="6D8C5FFE"/>
    <w:rsid w:val="6D8E000B"/>
    <w:rsid w:val="6D8F6C94"/>
    <w:rsid w:val="6D924E92"/>
    <w:rsid w:val="6DE004B1"/>
    <w:rsid w:val="6E2E0B32"/>
    <w:rsid w:val="6E634A55"/>
    <w:rsid w:val="6E9A0EAB"/>
    <w:rsid w:val="6EE741B3"/>
    <w:rsid w:val="6F15333A"/>
    <w:rsid w:val="6F6D3F5B"/>
    <w:rsid w:val="70311EB7"/>
    <w:rsid w:val="703126DA"/>
    <w:rsid w:val="70574C98"/>
    <w:rsid w:val="70F92245"/>
    <w:rsid w:val="70FC63A2"/>
    <w:rsid w:val="7115441E"/>
    <w:rsid w:val="71411BEA"/>
    <w:rsid w:val="71537500"/>
    <w:rsid w:val="71623A54"/>
    <w:rsid w:val="71663D4A"/>
    <w:rsid w:val="716B489A"/>
    <w:rsid w:val="71926986"/>
    <w:rsid w:val="71AE411D"/>
    <w:rsid w:val="71E571CD"/>
    <w:rsid w:val="722B56F6"/>
    <w:rsid w:val="72341D95"/>
    <w:rsid w:val="7242215A"/>
    <w:rsid w:val="724F2AC9"/>
    <w:rsid w:val="728A5018"/>
    <w:rsid w:val="72A93229"/>
    <w:rsid w:val="72C40BC5"/>
    <w:rsid w:val="72C40DA2"/>
    <w:rsid w:val="72F33BF6"/>
    <w:rsid w:val="734B4CAF"/>
    <w:rsid w:val="734D588E"/>
    <w:rsid w:val="7399063D"/>
    <w:rsid w:val="739D2036"/>
    <w:rsid w:val="747D391D"/>
    <w:rsid w:val="74B76EF7"/>
    <w:rsid w:val="74EB4D2A"/>
    <w:rsid w:val="750A4D48"/>
    <w:rsid w:val="75575F1C"/>
    <w:rsid w:val="76257DC8"/>
    <w:rsid w:val="76634D94"/>
    <w:rsid w:val="766E3CE8"/>
    <w:rsid w:val="76E41A31"/>
    <w:rsid w:val="77020808"/>
    <w:rsid w:val="77453A3C"/>
    <w:rsid w:val="7756127E"/>
    <w:rsid w:val="77593B94"/>
    <w:rsid w:val="777E5B62"/>
    <w:rsid w:val="77BB5D21"/>
    <w:rsid w:val="78396109"/>
    <w:rsid w:val="78653C47"/>
    <w:rsid w:val="78970D25"/>
    <w:rsid w:val="794E5888"/>
    <w:rsid w:val="79685983"/>
    <w:rsid w:val="797C344B"/>
    <w:rsid w:val="79B5118A"/>
    <w:rsid w:val="79CE490B"/>
    <w:rsid w:val="79D70E02"/>
    <w:rsid w:val="79F460DA"/>
    <w:rsid w:val="7A140880"/>
    <w:rsid w:val="7A140EEF"/>
    <w:rsid w:val="7A320D06"/>
    <w:rsid w:val="7A340F22"/>
    <w:rsid w:val="7A3D0CAF"/>
    <w:rsid w:val="7A6A32E4"/>
    <w:rsid w:val="7A9A7870"/>
    <w:rsid w:val="7AA03EC1"/>
    <w:rsid w:val="7AFA6A06"/>
    <w:rsid w:val="7B1075A6"/>
    <w:rsid w:val="7B503B39"/>
    <w:rsid w:val="7B5B513C"/>
    <w:rsid w:val="7BAC598B"/>
    <w:rsid w:val="7BC77B74"/>
    <w:rsid w:val="7BDB3903"/>
    <w:rsid w:val="7BE93A86"/>
    <w:rsid w:val="7C754ABD"/>
    <w:rsid w:val="7CEE2C0C"/>
    <w:rsid w:val="7D7F0706"/>
    <w:rsid w:val="7D834B18"/>
    <w:rsid w:val="7D956F8A"/>
    <w:rsid w:val="7D982561"/>
    <w:rsid w:val="7DBD67DA"/>
    <w:rsid w:val="7E49117B"/>
    <w:rsid w:val="7E773EEF"/>
    <w:rsid w:val="7E7E5CFF"/>
    <w:rsid w:val="7E7F0292"/>
    <w:rsid w:val="7EC17E33"/>
    <w:rsid w:val="7F2D315F"/>
    <w:rsid w:val="7F607EE8"/>
    <w:rsid w:val="7F69716B"/>
    <w:rsid w:val="7F967F89"/>
    <w:rsid w:val="7FAD42D9"/>
    <w:rsid w:val="7FC52D92"/>
    <w:rsid w:val="7FD501E7"/>
    <w:rsid w:val="7FDC6A75"/>
    <w:rsid w:val="DE65FC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10">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3406</Words>
  <Characters>3567</Characters>
  <TotalTime>24</TotalTime>
  <ScaleCrop>false</ScaleCrop>
  <LinksUpToDate>false</LinksUpToDate>
  <CharactersWithSpaces>3830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2021-06-23T13:53:00Z</dcterms:created>
  <dc:creator>三妮儿</dc:creator>
  <cp:lastModifiedBy>微信用户</cp:lastModifiedBy>
  <dcterms:modified xsi:type="dcterms:W3CDTF">2025-06-12T08:41:00Z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2052-12.1.0.16399</vt:lpwstr>
  </property>
  <property fmtid="{D5CDD505-2E9C-101B-9397-08002B2CF9AE}" pid="6" name="ICV">
    <vt:lpwstr>7A2E2AF666024F028F60B332E1E9FE46_13</vt:lpwstr>
  </property>
</Properties>
</file>